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52624" w14:textId="13124ECB" w:rsidR="00311F1D" w:rsidRPr="00962853" w:rsidRDefault="00311F1D" w:rsidP="00370DC1">
      <w:pPr>
        <w:jc w:val="both"/>
        <w:rPr>
          <w:rFonts w:cstheme="minorHAnsi"/>
        </w:rPr>
      </w:pPr>
    </w:p>
    <w:p w14:paraId="30E2F079" w14:textId="77777777" w:rsidR="00301396" w:rsidRPr="00962853" w:rsidRDefault="00301396" w:rsidP="00370DC1">
      <w:pPr>
        <w:jc w:val="both"/>
        <w:rPr>
          <w:rFonts w:eastAsia="Times New Roman" w:cstheme="minorHAnsi"/>
          <w:b/>
          <w:sz w:val="56"/>
          <w:szCs w:val="56"/>
        </w:rPr>
      </w:pPr>
    </w:p>
    <w:p w14:paraId="0B944837" w14:textId="77777777" w:rsidR="00301396" w:rsidRPr="00962853" w:rsidRDefault="00301396" w:rsidP="00370DC1">
      <w:pPr>
        <w:jc w:val="both"/>
        <w:rPr>
          <w:rFonts w:eastAsia="Times New Roman" w:cstheme="minorHAnsi"/>
          <w:b/>
          <w:sz w:val="56"/>
          <w:szCs w:val="56"/>
        </w:rPr>
      </w:pPr>
    </w:p>
    <w:p w14:paraId="5034136F" w14:textId="06C872FC" w:rsidR="001E77C2" w:rsidRPr="00962853" w:rsidRDefault="001E77C2" w:rsidP="00370DC1">
      <w:pPr>
        <w:jc w:val="center"/>
        <w:rPr>
          <w:rFonts w:eastAsia="Times New Roman" w:cstheme="minorHAnsi"/>
          <w:b/>
          <w:sz w:val="56"/>
          <w:szCs w:val="56"/>
        </w:rPr>
      </w:pPr>
      <w:r w:rsidRPr="00962853">
        <w:rPr>
          <w:rFonts w:eastAsia="Times New Roman" w:cstheme="minorHAnsi"/>
          <w:b/>
          <w:sz w:val="56"/>
          <w:szCs w:val="56"/>
        </w:rPr>
        <w:t>Introduction</w:t>
      </w:r>
      <w:r w:rsidR="00B217DD" w:rsidRPr="00962853">
        <w:rPr>
          <w:rFonts w:eastAsia="Times New Roman" w:cstheme="minorHAnsi"/>
          <w:b/>
          <w:sz w:val="56"/>
          <w:szCs w:val="56"/>
        </w:rPr>
        <w:t xml:space="preserve"> of</w:t>
      </w:r>
      <w:r w:rsidR="00624CE1" w:rsidRPr="00962853">
        <w:rPr>
          <w:rFonts w:eastAsia="Times New Roman" w:cstheme="minorHAnsi"/>
          <w:b/>
          <w:sz w:val="56"/>
          <w:szCs w:val="56"/>
        </w:rPr>
        <w:t xml:space="preserve"> </w:t>
      </w:r>
      <w:proofErr w:type="spellStart"/>
      <w:r w:rsidR="00446011">
        <w:rPr>
          <w:rFonts w:eastAsia="Times New Roman" w:cstheme="minorHAnsi"/>
          <w:b/>
          <w:sz w:val="56"/>
          <w:szCs w:val="56"/>
        </w:rPr>
        <w:t>P</w:t>
      </w:r>
      <w:r w:rsidR="00624CE1" w:rsidRPr="00962853">
        <w:rPr>
          <w:rFonts w:eastAsia="Times New Roman" w:cstheme="minorHAnsi"/>
          <w:b/>
          <w:sz w:val="56"/>
          <w:szCs w:val="56"/>
        </w:rPr>
        <w:t>aediatric</w:t>
      </w:r>
      <w:proofErr w:type="spellEnd"/>
      <w:r w:rsidR="00624CE1" w:rsidRPr="00962853">
        <w:rPr>
          <w:rFonts w:eastAsia="Times New Roman" w:cstheme="minorHAnsi"/>
          <w:b/>
          <w:sz w:val="56"/>
          <w:szCs w:val="56"/>
        </w:rPr>
        <w:t xml:space="preserve"> </w:t>
      </w:r>
      <w:r w:rsidR="00446011">
        <w:rPr>
          <w:rFonts w:eastAsia="Times New Roman" w:cstheme="minorHAnsi"/>
          <w:b/>
          <w:sz w:val="56"/>
          <w:szCs w:val="56"/>
        </w:rPr>
        <w:t>D</w:t>
      </w:r>
      <w:r w:rsidR="00624CE1" w:rsidRPr="00962853">
        <w:rPr>
          <w:rFonts w:eastAsia="Times New Roman" w:cstheme="minorHAnsi"/>
          <w:b/>
          <w:sz w:val="56"/>
          <w:szCs w:val="56"/>
        </w:rPr>
        <w:t xml:space="preserve">olutegravir (DTG) 10 mg </w:t>
      </w:r>
      <w:r w:rsidR="00446011">
        <w:rPr>
          <w:rFonts w:eastAsia="Times New Roman" w:cstheme="minorHAnsi"/>
          <w:b/>
          <w:sz w:val="56"/>
          <w:szCs w:val="56"/>
        </w:rPr>
        <w:t>D</w:t>
      </w:r>
      <w:r w:rsidR="00624CE1" w:rsidRPr="00962853">
        <w:rPr>
          <w:rFonts w:eastAsia="Times New Roman" w:cstheme="minorHAnsi"/>
          <w:b/>
          <w:sz w:val="56"/>
          <w:szCs w:val="56"/>
        </w:rPr>
        <w:t xml:space="preserve">ispersible, </w:t>
      </w:r>
      <w:r w:rsidR="00446011">
        <w:rPr>
          <w:rFonts w:eastAsia="Times New Roman" w:cstheme="minorHAnsi"/>
          <w:b/>
          <w:sz w:val="56"/>
          <w:szCs w:val="56"/>
        </w:rPr>
        <w:t>S</w:t>
      </w:r>
      <w:r w:rsidR="00624CE1" w:rsidRPr="00962853">
        <w:rPr>
          <w:rFonts w:eastAsia="Times New Roman" w:cstheme="minorHAnsi"/>
          <w:b/>
          <w:sz w:val="56"/>
          <w:szCs w:val="56"/>
        </w:rPr>
        <w:t xml:space="preserve">cored </w:t>
      </w:r>
      <w:r w:rsidR="00446011">
        <w:rPr>
          <w:rFonts w:eastAsia="Times New Roman" w:cstheme="minorHAnsi"/>
          <w:b/>
          <w:sz w:val="56"/>
          <w:szCs w:val="56"/>
        </w:rPr>
        <w:t>T</w:t>
      </w:r>
      <w:r w:rsidR="00624CE1" w:rsidRPr="00962853">
        <w:rPr>
          <w:rFonts w:eastAsia="Times New Roman" w:cstheme="minorHAnsi"/>
          <w:b/>
          <w:sz w:val="56"/>
          <w:szCs w:val="56"/>
        </w:rPr>
        <w:t>ablets (pDTG)</w:t>
      </w:r>
      <w:r w:rsidR="00B217DD" w:rsidRPr="00962853">
        <w:rPr>
          <w:rFonts w:eastAsia="Times New Roman" w:cstheme="minorHAnsi"/>
          <w:b/>
          <w:sz w:val="56"/>
          <w:szCs w:val="56"/>
        </w:rPr>
        <w:t xml:space="preserve"> </w:t>
      </w:r>
      <w:r w:rsidRPr="00962853">
        <w:rPr>
          <w:rFonts w:eastAsia="Times New Roman" w:cstheme="minorHAnsi"/>
          <w:b/>
          <w:sz w:val="56"/>
          <w:szCs w:val="56"/>
        </w:rPr>
        <w:t xml:space="preserve">in </w:t>
      </w:r>
      <w:r w:rsidR="00624CE1" w:rsidRPr="00AE261C">
        <w:rPr>
          <w:rFonts w:eastAsia="Times New Roman" w:cstheme="minorHAnsi"/>
          <w:b/>
          <w:i/>
          <w:iCs/>
          <w:sz w:val="56"/>
          <w:szCs w:val="56"/>
          <w:highlight w:val="yellow"/>
        </w:rPr>
        <w:t xml:space="preserve">Country </w:t>
      </w:r>
      <w:commentRangeStart w:id="0"/>
      <w:r w:rsidR="00624CE1" w:rsidRPr="00AE261C">
        <w:rPr>
          <w:rFonts w:eastAsia="Times New Roman" w:cstheme="minorHAnsi"/>
          <w:b/>
          <w:i/>
          <w:iCs/>
          <w:sz w:val="56"/>
          <w:szCs w:val="56"/>
          <w:highlight w:val="yellow"/>
        </w:rPr>
        <w:t>X</w:t>
      </w:r>
      <w:commentRangeEnd w:id="0"/>
      <w:r w:rsidR="00372227">
        <w:rPr>
          <w:rStyle w:val="CommentReference"/>
        </w:rPr>
        <w:commentReference w:id="0"/>
      </w:r>
    </w:p>
    <w:p w14:paraId="78DA6C87" w14:textId="0B278CC3" w:rsidR="001E77C2" w:rsidRPr="00AE261C" w:rsidRDefault="001E77C2" w:rsidP="00370DC1">
      <w:pPr>
        <w:jc w:val="center"/>
        <w:rPr>
          <w:rFonts w:eastAsia="Times New Roman" w:cstheme="minorHAnsi"/>
          <w:bCs/>
          <w:sz w:val="56"/>
          <w:szCs w:val="56"/>
        </w:rPr>
      </w:pPr>
      <w:r w:rsidRPr="00AE261C">
        <w:rPr>
          <w:rFonts w:eastAsia="Times New Roman" w:cstheme="minorHAnsi"/>
          <w:bCs/>
          <w:sz w:val="56"/>
          <w:szCs w:val="56"/>
        </w:rPr>
        <w:t>Transition Plan</w:t>
      </w:r>
      <w:r w:rsidR="00D7705A" w:rsidRPr="00AE261C">
        <w:rPr>
          <w:rFonts w:eastAsia="Times New Roman" w:cstheme="minorHAnsi"/>
          <w:bCs/>
          <w:sz w:val="56"/>
          <w:szCs w:val="56"/>
        </w:rPr>
        <w:t xml:space="preserve"> </w:t>
      </w:r>
      <w:r w:rsidR="00646740" w:rsidRPr="00AE261C">
        <w:rPr>
          <w:rFonts w:eastAsia="Times New Roman" w:cstheme="minorHAnsi"/>
          <w:bCs/>
          <w:sz w:val="56"/>
          <w:szCs w:val="56"/>
        </w:rPr>
        <w:t>20</w:t>
      </w:r>
      <w:r w:rsidR="00624CE1" w:rsidRPr="00AE261C">
        <w:rPr>
          <w:rFonts w:eastAsia="Times New Roman" w:cstheme="minorHAnsi"/>
          <w:bCs/>
          <w:sz w:val="56"/>
          <w:szCs w:val="56"/>
        </w:rPr>
        <w:t>21</w:t>
      </w:r>
    </w:p>
    <w:p w14:paraId="6E8263C3" w14:textId="77777777" w:rsidR="001E77C2" w:rsidRPr="00962853" w:rsidRDefault="008211E0" w:rsidP="00370DC1">
      <w:pPr>
        <w:tabs>
          <w:tab w:val="left" w:pos="5940"/>
        </w:tabs>
        <w:jc w:val="both"/>
        <w:rPr>
          <w:rFonts w:eastAsia="Times New Roman" w:cstheme="minorHAnsi"/>
          <w:b/>
        </w:rPr>
      </w:pPr>
      <w:r w:rsidRPr="00962853">
        <w:rPr>
          <w:rFonts w:eastAsia="Times New Roman" w:cstheme="minorHAnsi"/>
          <w:b/>
        </w:rPr>
        <w:tab/>
      </w:r>
    </w:p>
    <w:p w14:paraId="1B3A1F43" w14:textId="77777777" w:rsidR="001E77C2" w:rsidRPr="00962853" w:rsidRDefault="001E77C2" w:rsidP="00370DC1">
      <w:pPr>
        <w:jc w:val="both"/>
        <w:rPr>
          <w:rFonts w:eastAsia="Times New Roman" w:cstheme="minorHAnsi"/>
          <w:b/>
        </w:rPr>
      </w:pPr>
    </w:p>
    <w:p w14:paraId="1FCE04B7" w14:textId="73B2D9EC" w:rsidR="00DC7FB9" w:rsidRDefault="007758F6" w:rsidP="1D346988">
      <w:pPr>
        <w:jc w:val="center"/>
        <w:rPr>
          <w:rFonts w:eastAsia="Times New Roman"/>
          <w:i/>
          <w:iCs/>
          <w:sz w:val="44"/>
          <w:szCs w:val="44"/>
        </w:rPr>
      </w:pPr>
      <w:r>
        <w:rPr>
          <w:rFonts w:eastAsia="Times New Roman"/>
          <w:i/>
          <w:iCs/>
          <w:sz w:val="44"/>
          <w:szCs w:val="44"/>
        </w:rPr>
        <w:t>October</w:t>
      </w:r>
      <w:r w:rsidR="1D346988" w:rsidRPr="1D346988">
        <w:rPr>
          <w:rFonts w:eastAsia="Times New Roman"/>
          <w:i/>
          <w:iCs/>
          <w:sz w:val="44"/>
          <w:szCs w:val="44"/>
        </w:rPr>
        <w:t xml:space="preserve"> 2021</w:t>
      </w:r>
    </w:p>
    <w:p w14:paraId="51EBE4E5" w14:textId="77777777" w:rsidR="00B91AFA" w:rsidRPr="00D7705A" w:rsidRDefault="00B91AFA" w:rsidP="00370DC1">
      <w:pPr>
        <w:jc w:val="center"/>
        <w:rPr>
          <w:rFonts w:eastAsia="Times New Roman" w:cstheme="minorHAnsi"/>
          <w:i/>
          <w:sz w:val="44"/>
          <w:szCs w:val="44"/>
        </w:rPr>
      </w:pPr>
    </w:p>
    <w:commentRangeStart w:id="1"/>
    <w:p w14:paraId="3D979CE0" w14:textId="56D21DC6" w:rsidR="001E77C2" w:rsidRPr="00962853" w:rsidRDefault="00AE261C" w:rsidP="00370DC1">
      <w:pPr>
        <w:jc w:val="both"/>
        <w:rPr>
          <w:rFonts w:eastAsia="Times New Roman" w:cstheme="minorHAnsi"/>
          <w:i/>
        </w:rPr>
      </w:pPr>
      <w:r>
        <w:rPr>
          <w:rFonts w:eastAsia="Times New Roman" w:cstheme="minorHAnsi"/>
          <w:i/>
          <w:noProof/>
        </w:rPr>
        <mc:AlternateContent>
          <mc:Choice Requires="wps">
            <w:drawing>
              <wp:anchor distT="0" distB="0" distL="114300" distR="114300" simplePos="0" relativeHeight="251661312" behindDoc="0" locked="0" layoutInCell="1" allowOverlap="1" wp14:anchorId="55CD1E21" wp14:editId="6F7A5D25">
                <wp:simplePos x="0" y="0"/>
                <wp:positionH relativeFrom="column">
                  <wp:posOffset>-256</wp:posOffset>
                </wp:positionH>
                <wp:positionV relativeFrom="paragraph">
                  <wp:posOffset>105410</wp:posOffset>
                </wp:positionV>
                <wp:extent cx="5940000" cy="1935678"/>
                <wp:effectExtent l="0" t="0" r="22860" b="26670"/>
                <wp:wrapNone/>
                <wp:docPr id="1" name="Rectangle 1"/>
                <wp:cNvGraphicFramePr/>
                <a:graphic xmlns:a="http://schemas.openxmlformats.org/drawingml/2006/main">
                  <a:graphicData uri="http://schemas.microsoft.com/office/word/2010/wordprocessingShape">
                    <wps:wsp>
                      <wps:cNvSpPr/>
                      <wps:spPr>
                        <a:xfrm>
                          <a:off x="0" y="0"/>
                          <a:ext cx="5940000" cy="1935678"/>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http://schemas.openxmlformats.org/drawingml/2006/main" xmlns:pic="http://schemas.openxmlformats.org/drawingml/2006/picture">
            <w:pict w14:anchorId="3D677FA5">
              <v:rect id="Rectangle 1" style="position:absolute;margin-left:0;margin-top:8.3pt;width:467.7pt;height:152.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ed="f" strokecolor="black [3213]" strokeweight="1pt" w14:anchorId="29F1EA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"/>
            </w:pict>
          </mc:Fallback>
        </mc:AlternateContent>
      </w:r>
      <w:commentRangeEnd w:id="1"/>
      <w:r>
        <w:rPr>
          <w:rStyle w:val="CommentReference"/>
        </w:rPr>
        <w:commentReference w:id="1"/>
      </w:r>
      <w:r w:rsidR="00DC7FB9" w:rsidRPr="00962853">
        <w:rPr>
          <w:rFonts w:eastAsia="Times New Roman" w:cstheme="minorHAnsi"/>
          <w:i/>
        </w:rPr>
        <w:br w:type="page"/>
      </w:r>
    </w:p>
    <w:p w14:paraId="7C6A0048" w14:textId="11A39C9E" w:rsidR="001E77C2" w:rsidRPr="00962853" w:rsidRDefault="001E77C2" w:rsidP="00370DC1">
      <w:pPr>
        <w:pStyle w:val="Heading1"/>
        <w:jc w:val="both"/>
        <w:rPr>
          <w:rFonts w:asciiTheme="minorHAnsi" w:hAnsiTheme="minorHAnsi" w:cstheme="minorHAnsi"/>
          <w:sz w:val="28"/>
          <w:szCs w:val="28"/>
        </w:rPr>
      </w:pPr>
      <w:r w:rsidRPr="00962853">
        <w:rPr>
          <w:rFonts w:asciiTheme="minorHAnsi" w:hAnsiTheme="minorHAnsi" w:cstheme="minorHAnsi"/>
          <w:sz w:val="28"/>
          <w:szCs w:val="28"/>
        </w:rPr>
        <w:lastRenderedPageBreak/>
        <w:t>Introduction</w:t>
      </w:r>
      <w:r w:rsidR="005405AB" w:rsidRPr="00962853">
        <w:rPr>
          <w:rFonts w:asciiTheme="minorHAnsi" w:hAnsiTheme="minorHAnsi" w:cstheme="minorHAnsi"/>
          <w:sz w:val="28"/>
          <w:szCs w:val="28"/>
        </w:rPr>
        <w:t xml:space="preserve"> &amp; Background</w:t>
      </w:r>
    </w:p>
    <w:p w14:paraId="417C06AB" w14:textId="77777777" w:rsidR="007758F6" w:rsidRPr="00C53AE0" w:rsidRDefault="007758F6" w:rsidP="007758F6">
      <w:pPr>
        <w:jc w:val="both"/>
        <w:rPr>
          <w:lang w:val="en-GB"/>
        </w:rPr>
      </w:pPr>
      <w:r w:rsidRPr="00C53AE0">
        <w:rPr>
          <w:lang w:val="en-GB"/>
        </w:rPr>
        <w:t>Since 2013, WHO guidelines have recommended LPV/r-based regimens for all CLHIV under 3 years of age; however, the limited availability of a formulation suitable for this age bracket has remained a barrier to implementation. The 20</w:t>
      </w:r>
      <w:r>
        <w:rPr>
          <w:lang w:val="en-GB"/>
        </w:rPr>
        <w:t>21</w:t>
      </w:r>
      <w:r w:rsidRPr="00C53AE0">
        <w:rPr>
          <w:lang w:val="en-GB"/>
        </w:rPr>
        <w:t xml:space="preserve"> WHO Antiretroviral Therapy Guidelines now </w:t>
      </w:r>
      <w:r w:rsidRPr="00B744D0">
        <w:rPr>
          <w:lang w:val="en-GB"/>
        </w:rPr>
        <w:t>recommend DTG-based regimens as the preferred 1L regimen for all children aged from 4 weeks and above</w:t>
      </w:r>
      <w:r w:rsidRPr="007F56C2">
        <w:rPr>
          <w:lang w:val="en-GB"/>
        </w:rPr>
        <w:t>.</w:t>
      </w:r>
      <w:r w:rsidRPr="00BF1A70">
        <w:rPr>
          <w:rStyle w:val="FootnoteReference"/>
          <w:lang w:val="en-GB"/>
        </w:rPr>
        <w:footnoteReference w:id="1"/>
      </w:r>
      <w:r w:rsidRPr="007F56C2">
        <w:rPr>
          <w:lang w:val="en-GB"/>
        </w:rPr>
        <w:t xml:space="preserve"> </w:t>
      </w:r>
      <w:r w:rsidRPr="00C53AE0">
        <w:rPr>
          <w:lang w:val="en-GB"/>
        </w:rPr>
        <w:t xml:space="preserve">Studies in adults have found DTG to achieve viral suppression at higher rates when used as 1L and as 2L in comparison to protease inhibitors (PIs). </w:t>
      </w:r>
      <w:r w:rsidRPr="00B744D0">
        <w:rPr>
          <w:lang w:val="en-GB"/>
        </w:rPr>
        <w:t>The availability of a dispersible formulation now provides younger children with access to this potent medicine in a formulation that is easy for them take</w:t>
      </w:r>
      <w:r w:rsidRPr="007F56C2">
        <w:rPr>
          <w:lang w:val="en-GB"/>
        </w:rPr>
        <w:t>.</w:t>
      </w:r>
      <w:r w:rsidRPr="00C53AE0">
        <w:rPr>
          <w:lang w:val="en-GB"/>
        </w:rPr>
        <w:t xml:space="preserve"> pDTG offers improved tolerability over LPV/r, has a better genetic barrier to resistance (as a distinct advantage over non-nucleoside reverse transcriptase inhibitors [NNRTIs]), and is taken once daily (whereas LPV/r and NVP are twice daily). </w:t>
      </w:r>
      <w:r w:rsidRPr="00811F14">
        <w:rPr>
          <w:lang w:val="en-GB"/>
        </w:rPr>
        <w:t>The pDTG dispersible tablet is also more palatable with its strawberry cream flavour when dispersed in water compared to LPV/r’s bitter taste,</w:t>
      </w:r>
      <w:r w:rsidRPr="00C53AE0">
        <w:rPr>
          <w:lang w:val="en-GB"/>
        </w:rPr>
        <w:t xml:space="preserve"> which is present to the greatest extent in the syrup and to a lesser extent in pellets and granules.</w:t>
      </w:r>
    </w:p>
    <w:p w14:paraId="4E18B273" w14:textId="77777777" w:rsidR="007758F6" w:rsidRPr="00C53AE0" w:rsidRDefault="007758F6" w:rsidP="007758F6">
      <w:pPr>
        <w:spacing w:after="0"/>
        <w:jc w:val="center"/>
        <w:rPr>
          <w:lang w:val="en-GB"/>
        </w:rPr>
      </w:pPr>
      <w:r w:rsidRPr="00C53AE0">
        <w:rPr>
          <w:b/>
          <w:bCs/>
          <w:lang w:val="en-GB"/>
        </w:rPr>
        <w:t>Table 1:</w:t>
      </w:r>
      <w:r w:rsidRPr="00C53AE0">
        <w:rPr>
          <w:lang w:val="en-GB"/>
        </w:rPr>
        <w:t xml:space="preserve"> Preferred 1L Paediatric Treatment Regimens, WHO 202</w:t>
      </w:r>
      <w:r>
        <w:rPr>
          <w:lang w:val="en-GB"/>
        </w:rPr>
        <w:t>1</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060"/>
        <w:gridCol w:w="3060"/>
        <w:gridCol w:w="3061"/>
      </w:tblGrid>
      <w:tr w:rsidR="007758F6" w:rsidRPr="00C53AE0" w14:paraId="77BF3031" w14:textId="77777777" w:rsidTr="007C2693">
        <w:trPr>
          <w:trHeight w:val="190"/>
        </w:trPr>
        <w:tc>
          <w:tcPr>
            <w:tcW w:w="3060" w:type="dxa"/>
            <w:shd w:val="clear" w:color="auto" w:fill="244061" w:themeFill="accent1" w:themeFillShade="80"/>
            <w:tcMar>
              <w:top w:w="41" w:type="dxa"/>
              <w:left w:w="41" w:type="dxa"/>
              <w:bottom w:w="41" w:type="dxa"/>
              <w:right w:w="41" w:type="dxa"/>
            </w:tcMar>
            <w:vAlign w:val="center"/>
            <w:hideMark/>
          </w:tcPr>
          <w:p w14:paraId="2482C7EF" w14:textId="77777777" w:rsidR="007758F6" w:rsidRPr="00C53AE0" w:rsidRDefault="007758F6" w:rsidP="007C2693">
            <w:pPr>
              <w:spacing w:after="0" w:line="240" w:lineRule="auto"/>
              <w:jc w:val="center"/>
              <w:rPr>
                <w:rFonts w:ascii="Arial" w:eastAsia="Times New Roman" w:hAnsi="Arial" w:cs="Arial"/>
                <w:b/>
                <w:color w:val="FFFFFF" w:themeColor="background1"/>
                <w:sz w:val="20"/>
                <w:szCs w:val="20"/>
                <w:lang w:val="en-GB" w:eastAsia="en-GB"/>
              </w:rPr>
            </w:pPr>
            <w:r w:rsidRPr="00C53AE0">
              <w:rPr>
                <w:rFonts w:eastAsia="Arial" w:hAnsi="Calibri" w:cs="Arial"/>
                <w:b/>
                <w:color w:val="FFFFFF" w:themeColor="background1"/>
                <w:kern w:val="24"/>
                <w:sz w:val="20"/>
                <w:szCs w:val="20"/>
                <w:lang w:val="en-GB" w:eastAsia="en-GB"/>
              </w:rPr>
              <w:t>Population</w:t>
            </w:r>
          </w:p>
        </w:tc>
        <w:tc>
          <w:tcPr>
            <w:tcW w:w="3060" w:type="dxa"/>
            <w:shd w:val="clear" w:color="auto" w:fill="244061" w:themeFill="accent1" w:themeFillShade="80"/>
            <w:tcMar>
              <w:top w:w="41" w:type="dxa"/>
              <w:left w:w="41" w:type="dxa"/>
              <w:bottom w:w="41" w:type="dxa"/>
              <w:right w:w="41" w:type="dxa"/>
            </w:tcMar>
            <w:vAlign w:val="center"/>
            <w:hideMark/>
          </w:tcPr>
          <w:p w14:paraId="483CF3B7" w14:textId="77777777" w:rsidR="007758F6" w:rsidRPr="00C53AE0" w:rsidRDefault="007758F6" w:rsidP="007C2693">
            <w:pPr>
              <w:spacing w:after="0" w:line="240" w:lineRule="auto"/>
              <w:jc w:val="center"/>
              <w:rPr>
                <w:rFonts w:ascii="Arial" w:eastAsia="Times New Roman" w:hAnsi="Arial" w:cs="Arial"/>
                <w:b/>
                <w:color w:val="FFFFFF" w:themeColor="background1"/>
                <w:sz w:val="20"/>
                <w:szCs w:val="20"/>
                <w:lang w:val="en-GB" w:eastAsia="en-GB"/>
              </w:rPr>
            </w:pPr>
            <w:r w:rsidRPr="00C53AE0">
              <w:rPr>
                <w:rFonts w:eastAsia="Arial" w:hAnsi="Calibri" w:cs="Arial"/>
                <w:b/>
                <w:color w:val="FFFFFF" w:themeColor="background1"/>
                <w:kern w:val="24"/>
                <w:sz w:val="20"/>
                <w:szCs w:val="20"/>
                <w:lang w:val="en-GB" w:eastAsia="en-GB"/>
              </w:rPr>
              <w:t>Preferred 1L Regimen</w:t>
            </w:r>
          </w:p>
        </w:tc>
        <w:tc>
          <w:tcPr>
            <w:tcW w:w="3061" w:type="dxa"/>
            <w:shd w:val="clear" w:color="auto" w:fill="244061" w:themeFill="accent1" w:themeFillShade="80"/>
            <w:tcMar>
              <w:top w:w="41" w:type="dxa"/>
              <w:left w:w="41" w:type="dxa"/>
              <w:bottom w:w="41" w:type="dxa"/>
              <w:right w:w="41" w:type="dxa"/>
            </w:tcMar>
            <w:vAlign w:val="center"/>
            <w:hideMark/>
          </w:tcPr>
          <w:p w14:paraId="655E8FCA" w14:textId="77777777" w:rsidR="007758F6" w:rsidRPr="00C53AE0" w:rsidRDefault="007758F6" w:rsidP="007C2693">
            <w:pPr>
              <w:spacing w:after="0" w:line="240" w:lineRule="auto"/>
              <w:jc w:val="center"/>
              <w:rPr>
                <w:rFonts w:ascii="Arial" w:eastAsia="Times New Roman" w:hAnsi="Arial" w:cs="Arial"/>
                <w:b/>
                <w:color w:val="FFFFFF" w:themeColor="background1"/>
                <w:sz w:val="20"/>
                <w:szCs w:val="20"/>
                <w:lang w:val="en-GB" w:eastAsia="en-GB"/>
              </w:rPr>
            </w:pPr>
            <w:r w:rsidRPr="00C53AE0">
              <w:rPr>
                <w:rFonts w:eastAsia="Arial" w:hAnsi="Calibri" w:cs="Arial"/>
                <w:b/>
                <w:color w:val="FFFFFF" w:themeColor="background1"/>
                <w:kern w:val="24"/>
                <w:sz w:val="20"/>
                <w:szCs w:val="20"/>
                <w:lang w:val="en-GB" w:eastAsia="en-GB"/>
              </w:rPr>
              <w:t>Alternative 1L</w:t>
            </w:r>
          </w:p>
        </w:tc>
      </w:tr>
      <w:tr w:rsidR="007758F6" w:rsidRPr="00C53AE0" w14:paraId="4F27C66D" w14:textId="77777777" w:rsidTr="007C2693">
        <w:trPr>
          <w:trHeight w:val="20"/>
        </w:trPr>
        <w:tc>
          <w:tcPr>
            <w:tcW w:w="3060" w:type="dxa"/>
            <w:shd w:val="clear" w:color="auto" w:fill="auto"/>
            <w:tcMar>
              <w:top w:w="41" w:type="dxa"/>
              <w:left w:w="41" w:type="dxa"/>
              <w:bottom w:w="41" w:type="dxa"/>
              <w:right w:w="41" w:type="dxa"/>
            </w:tcMar>
            <w:vAlign w:val="center"/>
            <w:hideMark/>
          </w:tcPr>
          <w:p w14:paraId="7CA8B2A5" w14:textId="77777777" w:rsidR="007758F6" w:rsidRPr="00C53AE0" w:rsidRDefault="007758F6" w:rsidP="007C2693">
            <w:pPr>
              <w:spacing w:after="0" w:line="228" w:lineRule="auto"/>
              <w:jc w:val="center"/>
              <w:rPr>
                <w:rFonts w:eastAsia="Arial" w:hAnsi="Calibri" w:cs="Arial"/>
                <w:color w:val="000000" w:themeColor="dark1"/>
                <w:kern w:val="24"/>
                <w:sz w:val="20"/>
                <w:szCs w:val="20"/>
                <w:lang w:val="en-GB" w:eastAsia="en-GB"/>
              </w:rPr>
            </w:pPr>
            <w:r w:rsidRPr="00C53AE0">
              <w:rPr>
                <w:rFonts w:eastAsia="Arial" w:hAnsi="Calibri" w:cs="Arial"/>
                <w:color w:val="000000" w:themeColor="dark1"/>
                <w:kern w:val="24"/>
                <w:sz w:val="20"/>
                <w:szCs w:val="20"/>
                <w:lang w:val="en-GB" w:eastAsia="en-GB"/>
              </w:rPr>
              <w:t>Children</w:t>
            </w:r>
          </w:p>
          <w:p w14:paraId="6EDA650A" w14:textId="77777777" w:rsidR="007758F6" w:rsidRPr="00C53AE0" w:rsidRDefault="007758F6" w:rsidP="007C2693">
            <w:pPr>
              <w:spacing w:after="0" w:line="228" w:lineRule="auto"/>
              <w:jc w:val="center"/>
              <w:rPr>
                <w:rFonts w:ascii="Arial" w:eastAsia="Times New Roman" w:hAnsi="Arial" w:cs="Arial"/>
                <w:sz w:val="20"/>
                <w:szCs w:val="20"/>
                <w:lang w:val="en-GB" w:eastAsia="en-GB"/>
              </w:rPr>
            </w:pPr>
            <w:r w:rsidRPr="00C53AE0">
              <w:rPr>
                <w:rFonts w:eastAsia="Arial" w:hAnsi="Calibri" w:cs="Arial"/>
                <w:color w:val="000000" w:themeColor="dark1"/>
                <w:kern w:val="24"/>
                <w:sz w:val="20"/>
                <w:szCs w:val="20"/>
                <w:lang w:val="en-GB" w:eastAsia="en-GB"/>
              </w:rPr>
              <w:t>(</w:t>
            </w:r>
            <w:r w:rsidRPr="00C53AE0">
              <w:rPr>
                <w:rFonts w:eastAsia="Arial" w:cstheme="minorHAnsi"/>
                <w:color w:val="000000" w:themeColor="dark1"/>
                <w:kern w:val="24"/>
                <w:sz w:val="20"/>
                <w:szCs w:val="20"/>
                <w:lang w:val="en-GB" w:eastAsia="en-GB"/>
              </w:rPr>
              <w:t>≥</w:t>
            </w:r>
            <w:r w:rsidRPr="00C53AE0">
              <w:rPr>
                <w:rFonts w:eastAsia="Arial" w:hAnsi="Calibri" w:cs="Arial"/>
                <w:color w:val="000000" w:themeColor="dark1"/>
                <w:kern w:val="24"/>
                <w:sz w:val="20"/>
                <w:szCs w:val="20"/>
                <w:lang w:val="en-GB" w:eastAsia="en-GB"/>
              </w:rPr>
              <w:t xml:space="preserve">4 weeks of age &amp; </w:t>
            </w:r>
            <w:r w:rsidRPr="00C53AE0">
              <w:rPr>
                <w:rFonts w:eastAsia="Arial" w:cstheme="minorHAnsi"/>
                <w:color w:val="000000" w:themeColor="dark1"/>
                <w:kern w:val="24"/>
                <w:sz w:val="20"/>
                <w:szCs w:val="20"/>
                <w:lang w:val="en-GB" w:eastAsia="en-GB"/>
              </w:rPr>
              <w:t>≥</w:t>
            </w:r>
            <w:r w:rsidRPr="00C53AE0">
              <w:rPr>
                <w:rFonts w:eastAsia="Arial" w:hAnsi="Calibri" w:cs="Arial"/>
                <w:color w:val="000000" w:themeColor="dark1"/>
                <w:kern w:val="24"/>
                <w:sz w:val="20"/>
                <w:szCs w:val="20"/>
                <w:lang w:val="en-GB" w:eastAsia="en-GB"/>
              </w:rPr>
              <w:t>3 kg)</w:t>
            </w:r>
          </w:p>
        </w:tc>
        <w:tc>
          <w:tcPr>
            <w:tcW w:w="3060" w:type="dxa"/>
            <w:shd w:val="clear" w:color="auto" w:fill="auto"/>
            <w:tcMar>
              <w:top w:w="41" w:type="dxa"/>
              <w:left w:w="41" w:type="dxa"/>
              <w:bottom w:w="41" w:type="dxa"/>
              <w:right w:w="41" w:type="dxa"/>
            </w:tcMar>
            <w:vAlign w:val="center"/>
            <w:hideMark/>
          </w:tcPr>
          <w:p w14:paraId="4B632FA3" w14:textId="77777777" w:rsidR="007758F6" w:rsidRPr="00C53AE0" w:rsidRDefault="007758F6" w:rsidP="007C2693">
            <w:pPr>
              <w:spacing w:after="0" w:line="228" w:lineRule="auto"/>
              <w:jc w:val="center"/>
              <w:rPr>
                <w:rFonts w:ascii="Arial" w:eastAsia="Times New Roman" w:hAnsi="Arial" w:cs="Arial"/>
                <w:sz w:val="20"/>
                <w:szCs w:val="20"/>
                <w:lang w:val="en-GB" w:eastAsia="en-GB"/>
              </w:rPr>
            </w:pPr>
            <w:r w:rsidRPr="00C53AE0">
              <w:rPr>
                <w:rFonts w:eastAsia="Calibri" w:hAnsi="Calibri" w:cs="Times New Roman"/>
                <w:color w:val="000000" w:themeColor="dark1"/>
                <w:kern w:val="24"/>
                <w:sz w:val="20"/>
                <w:szCs w:val="20"/>
                <w:lang w:val="en-GB" w:eastAsia="en-GB"/>
              </w:rPr>
              <w:t>ABC + 3TC + DTG</w:t>
            </w:r>
          </w:p>
        </w:tc>
        <w:tc>
          <w:tcPr>
            <w:tcW w:w="3061" w:type="dxa"/>
            <w:shd w:val="clear" w:color="auto" w:fill="auto"/>
            <w:tcMar>
              <w:top w:w="41" w:type="dxa"/>
              <w:left w:w="41" w:type="dxa"/>
              <w:bottom w:w="41" w:type="dxa"/>
              <w:right w:w="41" w:type="dxa"/>
            </w:tcMar>
            <w:vAlign w:val="center"/>
            <w:hideMark/>
          </w:tcPr>
          <w:p w14:paraId="3727558F" w14:textId="77777777" w:rsidR="007758F6" w:rsidRPr="00C53AE0" w:rsidRDefault="007758F6" w:rsidP="007C2693">
            <w:pPr>
              <w:spacing w:after="0" w:line="228" w:lineRule="auto"/>
              <w:jc w:val="center"/>
              <w:rPr>
                <w:rFonts w:ascii="Arial" w:eastAsia="Times New Roman" w:hAnsi="Arial" w:cs="Arial"/>
                <w:sz w:val="20"/>
                <w:szCs w:val="20"/>
                <w:lang w:val="en-GB" w:eastAsia="en-GB"/>
              </w:rPr>
            </w:pPr>
            <w:r w:rsidRPr="00C53AE0">
              <w:rPr>
                <w:rFonts w:eastAsia="Calibri" w:hAnsi="Calibri" w:cs="Times New Roman"/>
                <w:color w:val="000000" w:themeColor="dark1"/>
                <w:kern w:val="24"/>
                <w:sz w:val="20"/>
                <w:szCs w:val="20"/>
                <w:lang w:val="en-GB" w:eastAsia="en-GB"/>
              </w:rPr>
              <w:t>ABC + 3TC + (LPV/r or RAL)</w:t>
            </w:r>
          </w:p>
          <w:p w14:paraId="7B0A2484" w14:textId="77777777" w:rsidR="007758F6" w:rsidRPr="00C53AE0" w:rsidRDefault="007758F6" w:rsidP="007C2693">
            <w:pPr>
              <w:spacing w:after="0" w:line="228" w:lineRule="auto"/>
              <w:jc w:val="center"/>
              <w:rPr>
                <w:rFonts w:ascii="Arial" w:eastAsia="Times New Roman" w:hAnsi="Arial" w:cs="Arial"/>
                <w:sz w:val="20"/>
                <w:szCs w:val="20"/>
                <w:lang w:val="en-GB" w:eastAsia="en-GB"/>
              </w:rPr>
            </w:pPr>
            <w:r w:rsidRPr="00C53AE0">
              <w:rPr>
                <w:rFonts w:eastAsia="Calibri" w:hAnsi="Calibri" w:cs="Times New Roman"/>
                <w:color w:val="000000" w:themeColor="dark1"/>
                <w:kern w:val="24"/>
                <w:sz w:val="20"/>
                <w:szCs w:val="20"/>
                <w:lang w:val="en-GB" w:eastAsia="en-GB"/>
              </w:rPr>
              <w:t>TAF + (3TC or FTC) + DTG</w:t>
            </w:r>
          </w:p>
        </w:tc>
      </w:tr>
      <w:tr w:rsidR="007758F6" w:rsidRPr="00C53AE0" w14:paraId="238B7A8D" w14:textId="77777777" w:rsidTr="007C2693">
        <w:trPr>
          <w:trHeight w:val="147"/>
        </w:trPr>
        <w:tc>
          <w:tcPr>
            <w:tcW w:w="3060" w:type="dxa"/>
            <w:shd w:val="clear" w:color="auto" w:fill="auto"/>
            <w:tcMar>
              <w:top w:w="41" w:type="dxa"/>
              <w:left w:w="41" w:type="dxa"/>
              <w:bottom w:w="41" w:type="dxa"/>
              <w:right w:w="41" w:type="dxa"/>
            </w:tcMar>
            <w:vAlign w:val="center"/>
            <w:hideMark/>
          </w:tcPr>
          <w:p w14:paraId="43F421C8" w14:textId="77777777" w:rsidR="007758F6" w:rsidRPr="00C53AE0" w:rsidRDefault="007758F6" w:rsidP="007C2693">
            <w:pPr>
              <w:spacing w:after="0" w:line="228" w:lineRule="auto"/>
              <w:jc w:val="center"/>
              <w:rPr>
                <w:rFonts w:ascii="Arial" w:eastAsia="Times New Roman" w:hAnsi="Arial" w:cs="Arial"/>
                <w:sz w:val="20"/>
                <w:szCs w:val="20"/>
                <w:lang w:val="en-GB" w:eastAsia="en-GB"/>
              </w:rPr>
            </w:pPr>
            <w:r w:rsidRPr="00C53AE0">
              <w:rPr>
                <w:rFonts w:eastAsia="Arial" w:hAnsi="Calibri" w:cs="Arial"/>
                <w:color w:val="000000" w:themeColor="dark1"/>
                <w:kern w:val="24"/>
                <w:sz w:val="20"/>
                <w:szCs w:val="20"/>
                <w:lang w:val="en-GB" w:eastAsia="en-GB"/>
              </w:rPr>
              <w:t>Neonates</w:t>
            </w:r>
          </w:p>
        </w:tc>
        <w:tc>
          <w:tcPr>
            <w:tcW w:w="3060" w:type="dxa"/>
            <w:shd w:val="clear" w:color="auto" w:fill="auto"/>
            <w:tcMar>
              <w:top w:w="41" w:type="dxa"/>
              <w:left w:w="41" w:type="dxa"/>
              <w:bottom w:w="41" w:type="dxa"/>
              <w:right w:w="41" w:type="dxa"/>
            </w:tcMar>
            <w:vAlign w:val="center"/>
            <w:hideMark/>
          </w:tcPr>
          <w:p w14:paraId="07C0DBDD" w14:textId="77777777" w:rsidR="007758F6" w:rsidRPr="00C53AE0" w:rsidRDefault="007758F6" w:rsidP="007C2693">
            <w:pPr>
              <w:spacing w:after="0" w:line="228" w:lineRule="auto"/>
              <w:jc w:val="center"/>
              <w:rPr>
                <w:rFonts w:ascii="Arial" w:eastAsia="Times New Roman" w:hAnsi="Arial" w:cs="Arial"/>
                <w:sz w:val="20"/>
                <w:szCs w:val="20"/>
                <w:lang w:val="en-GB" w:eastAsia="en-GB"/>
              </w:rPr>
            </w:pPr>
            <w:r w:rsidRPr="00C53AE0">
              <w:rPr>
                <w:rFonts w:eastAsia="Calibri" w:hAnsi="Calibri" w:cs="Times New Roman"/>
                <w:color w:val="000000" w:themeColor="text1"/>
                <w:kern w:val="24"/>
                <w:sz w:val="20"/>
                <w:szCs w:val="20"/>
                <w:lang w:val="en-GB" w:eastAsia="en-GB"/>
              </w:rPr>
              <w:t>AZT + 3TC + RAL</w:t>
            </w:r>
          </w:p>
        </w:tc>
        <w:tc>
          <w:tcPr>
            <w:tcW w:w="3061" w:type="dxa"/>
            <w:shd w:val="clear" w:color="auto" w:fill="auto"/>
            <w:tcMar>
              <w:top w:w="41" w:type="dxa"/>
              <w:left w:w="41" w:type="dxa"/>
              <w:bottom w:w="41" w:type="dxa"/>
              <w:right w:w="41" w:type="dxa"/>
            </w:tcMar>
            <w:vAlign w:val="center"/>
            <w:hideMark/>
          </w:tcPr>
          <w:p w14:paraId="0CBF5779" w14:textId="77777777" w:rsidR="007758F6" w:rsidRPr="00C53AE0" w:rsidRDefault="007758F6" w:rsidP="007C2693">
            <w:pPr>
              <w:spacing w:after="0" w:line="228" w:lineRule="auto"/>
              <w:jc w:val="center"/>
              <w:rPr>
                <w:rFonts w:ascii="Arial" w:eastAsia="Times New Roman" w:hAnsi="Arial" w:cs="Arial"/>
                <w:sz w:val="20"/>
                <w:szCs w:val="20"/>
                <w:lang w:val="en-GB" w:eastAsia="en-GB"/>
              </w:rPr>
            </w:pPr>
            <w:r w:rsidRPr="00C53AE0">
              <w:rPr>
                <w:rFonts w:eastAsia="Calibri" w:hAnsi="Calibri" w:cs="Times New Roman"/>
                <w:color w:val="000000" w:themeColor="dark1"/>
                <w:kern w:val="24"/>
                <w:sz w:val="20"/>
                <w:szCs w:val="20"/>
                <w:lang w:val="en-GB" w:eastAsia="en-GB"/>
              </w:rPr>
              <w:t>AZT + 3TC + NVP</w:t>
            </w:r>
          </w:p>
        </w:tc>
      </w:tr>
    </w:tbl>
    <w:p w14:paraId="38E9328A" w14:textId="77777777" w:rsidR="007758F6" w:rsidRPr="00C53AE0" w:rsidRDefault="007758F6" w:rsidP="007758F6">
      <w:pPr>
        <w:pStyle w:val="Default"/>
        <w:rPr>
          <w:sz w:val="22"/>
          <w:szCs w:val="22"/>
        </w:rPr>
      </w:pPr>
    </w:p>
    <w:p w14:paraId="65449E44" w14:textId="77777777" w:rsidR="007758F6" w:rsidRPr="00C53AE0" w:rsidRDefault="007758F6" w:rsidP="007758F6">
      <w:pPr>
        <w:pStyle w:val="Default"/>
        <w:spacing w:after="160" w:line="276" w:lineRule="auto"/>
        <w:jc w:val="both"/>
        <w:rPr>
          <w:sz w:val="22"/>
          <w:szCs w:val="22"/>
        </w:rPr>
      </w:pPr>
      <w:r w:rsidRPr="00C53AE0">
        <w:rPr>
          <w:sz w:val="22"/>
          <w:szCs w:val="22"/>
        </w:rPr>
        <w:t>This new guidance coincided with two generic manufacturers, Viatris</w:t>
      </w:r>
      <w:r>
        <w:rPr>
          <w:sz w:val="22"/>
          <w:szCs w:val="22"/>
        </w:rPr>
        <w:t xml:space="preserve"> (formerly Mylan)</w:t>
      </w:r>
      <w:r w:rsidRPr="00C53AE0">
        <w:rPr>
          <w:sz w:val="22"/>
          <w:szCs w:val="22"/>
        </w:rPr>
        <w:t xml:space="preserve"> and Macleods, filing for regulatory approval of pDTG with the United States Food and Drug Administration (US FDA). Viatris has since received tentative </w:t>
      </w:r>
      <w:r>
        <w:rPr>
          <w:sz w:val="22"/>
          <w:szCs w:val="22"/>
        </w:rPr>
        <w:t xml:space="preserve">US FDA </w:t>
      </w:r>
      <w:r w:rsidRPr="00C53AE0">
        <w:rPr>
          <w:sz w:val="22"/>
          <w:szCs w:val="22"/>
        </w:rPr>
        <w:t>approval (</w:t>
      </w:r>
      <w:r>
        <w:rPr>
          <w:sz w:val="22"/>
          <w:szCs w:val="22"/>
        </w:rPr>
        <w:t>19</w:t>
      </w:r>
      <w:r w:rsidRPr="00923A21">
        <w:rPr>
          <w:sz w:val="22"/>
          <w:szCs w:val="22"/>
          <w:vertAlign w:val="superscript"/>
        </w:rPr>
        <w:t>th</w:t>
      </w:r>
      <w:r>
        <w:rPr>
          <w:sz w:val="22"/>
          <w:szCs w:val="22"/>
        </w:rPr>
        <w:t xml:space="preserve"> </w:t>
      </w:r>
      <w:r w:rsidRPr="00C53AE0">
        <w:rPr>
          <w:sz w:val="22"/>
          <w:szCs w:val="22"/>
        </w:rPr>
        <w:t>Nov</w:t>
      </w:r>
      <w:r>
        <w:rPr>
          <w:sz w:val="22"/>
          <w:szCs w:val="22"/>
        </w:rPr>
        <w:t>ember</w:t>
      </w:r>
      <w:r w:rsidRPr="00C53AE0">
        <w:rPr>
          <w:sz w:val="22"/>
          <w:szCs w:val="22"/>
        </w:rPr>
        <w:t xml:space="preserve"> 2020)</w:t>
      </w:r>
      <w:r>
        <w:rPr>
          <w:rStyle w:val="FootnoteReference"/>
          <w:sz w:val="22"/>
          <w:szCs w:val="22"/>
        </w:rPr>
        <w:footnoteReference w:id="2"/>
      </w:r>
      <w:r w:rsidRPr="00C53AE0">
        <w:rPr>
          <w:sz w:val="22"/>
          <w:szCs w:val="22"/>
        </w:rPr>
        <w:t xml:space="preserve">, </w:t>
      </w:r>
      <w:r>
        <w:rPr>
          <w:sz w:val="22"/>
          <w:szCs w:val="22"/>
        </w:rPr>
        <w:t>and</w:t>
      </w:r>
      <w:r w:rsidRPr="00C53AE0">
        <w:rPr>
          <w:sz w:val="22"/>
          <w:szCs w:val="22"/>
        </w:rPr>
        <w:t xml:space="preserve"> Macleods</w:t>
      </w:r>
      <w:r>
        <w:rPr>
          <w:sz w:val="22"/>
          <w:szCs w:val="22"/>
        </w:rPr>
        <w:t xml:space="preserve"> also</w:t>
      </w:r>
      <w:r w:rsidRPr="00C53AE0">
        <w:rPr>
          <w:sz w:val="22"/>
          <w:szCs w:val="22"/>
        </w:rPr>
        <w:t xml:space="preserve"> </w:t>
      </w:r>
      <w:r>
        <w:rPr>
          <w:sz w:val="22"/>
          <w:szCs w:val="22"/>
        </w:rPr>
        <w:t>received tentative US FDA approval (16</w:t>
      </w:r>
      <w:r w:rsidRPr="00A242F1">
        <w:rPr>
          <w:sz w:val="22"/>
          <w:szCs w:val="22"/>
          <w:vertAlign w:val="superscript"/>
        </w:rPr>
        <w:t>th</w:t>
      </w:r>
      <w:r>
        <w:rPr>
          <w:sz w:val="22"/>
          <w:szCs w:val="22"/>
        </w:rPr>
        <w:t xml:space="preserve"> March 2021)</w:t>
      </w:r>
      <w:r>
        <w:rPr>
          <w:sz w:val="22"/>
          <w:szCs w:val="22"/>
          <w:vertAlign w:val="superscript"/>
        </w:rPr>
        <w:t>3</w:t>
      </w:r>
      <w:r w:rsidRPr="00C53AE0">
        <w:rPr>
          <w:sz w:val="22"/>
          <w:szCs w:val="22"/>
        </w:rPr>
        <w:t xml:space="preserve">. </w:t>
      </w:r>
      <w:r w:rsidRPr="00B744D0">
        <w:rPr>
          <w:sz w:val="22"/>
          <w:szCs w:val="22"/>
        </w:rPr>
        <w:t xml:space="preserve">Based on </w:t>
      </w:r>
      <w:r>
        <w:rPr>
          <w:sz w:val="22"/>
          <w:szCs w:val="22"/>
        </w:rPr>
        <w:t>these</w:t>
      </w:r>
      <w:r w:rsidRPr="00B744D0">
        <w:rPr>
          <w:sz w:val="22"/>
          <w:szCs w:val="22"/>
        </w:rPr>
        <w:t xml:space="preserve"> approval</w:t>
      </w:r>
      <w:r>
        <w:rPr>
          <w:sz w:val="22"/>
          <w:szCs w:val="22"/>
        </w:rPr>
        <w:t>s</w:t>
      </w:r>
      <w:r w:rsidRPr="00B744D0">
        <w:rPr>
          <w:sz w:val="22"/>
          <w:szCs w:val="22"/>
        </w:rPr>
        <w:t xml:space="preserve">, procurement </w:t>
      </w:r>
      <w:proofErr w:type="gramStart"/>
      <w:r>
        <w:rPr>
          <w:sz w:val="22"/>
          <w:szCs w:val="22"/>
        </w:rPr>
        <w:t>began</w:t>
      </w:r>
      <w:proofErr w:type="gramEnd"/>
      <w:r w:rsidRPr="00B744D0">
        <w:rPr>
          <w:sz w:val="22"/>
          <w:szCs w:val="22"/>
        </w:rPr>
        <w:t xml:space="preserve"> and in-country delivery</w:t>
      </w:r>
      <w:r>
        <w:rPr>
          <w:sz w:val="22"/>
          <w:szCs w:val="22"/>
        </w:rPr>
        <w:t xml:space="preserve"> took place</w:t>
      </w:r>
      <w:r w:rsidRPr="00B744D0">
        <w:rPr>
          <w:sz w:val="22"/>
          <w:szCs w:val="22"/>
        </w:rPr>
        <w:t xml:space="preserve"> in early Q2 2021 for early adopter countries</w:t>
      </w:r>
      <w:r>
        <w:rPr>
          <w:sz w:val="22"/>
          <w:szCs w:val="22"/>
        </w:rPr>
        <w:t xml:space="preserve"> and</w:t>
      </w:r>
      <w:r w:rsidRPr="00B744D0">
        <w:rPr>
          <w:sz w:val="22"/>
          <w:szCs w:val="22"/>
        </w:rPr>
        <w:t xml:space="preserve"> </w:t>
      </w:r>
      <w:r>
        <w:rPr>
          <w:sz w:val="22"/>
          <w:szCs w:val="22"/>
        </w:rPr>
        <w:t xml:space="preserve">continues to take place in Q3 2021 and </w:t>
      </w:r>
      <w:r w:rsidRPr="00B744D0">
        <w:rPr>
          <w:sz w:val="22"/>
          <w:szCs w:val="22"/>
        </w:rPr>
        <w:t xml:space="preserve">beyond in all other countries that rely on </w:t>
      </w:r>
      <w:r w:rsidRPr="00CF58E2">
        <w:rPr>
          <w:sz w:val="22"/>
          <w:szCs w:val="22"/>
        </w:rPr>
        <w:t>Global Fund to Fight AIDS, Tuberculosis</w:t>
      </w:r>
      <w:r>
        <w:rPr>
          <w:sz w:val="22"/>
          <w:szCs w:val="22"/>
        </w:rPr>
        <w:t>,</w:t>
      </w:r>
      <w:r w:rsidRPr="00CF58E2">
        <w:rPr>
          <w:sz w:val="22"/>
          <w:szCs w:val="22"/>
        </w:rPr>
        <w:t xml:space="preserve"> and Malaria </w:t>
      </w:r>
      <w:r>
        <w:rPr>
          <w:sz w:val="22"/>
          <w:szCs w:val="22"/>
        </w:rPr>
        <w:t>(</w:t>
      </w:r>
      <w:r w:rsidRPr="00B744D0">
        <w:rPr>
          <w:sz w:val="22"/>
          <w:szCs w:val="22"/>
        </w:rPr>
        <w:t>Global Fund</w:t>
      </w:r>
      <w:r>
        <w:rPr>
          <w:sz w:val="22"/>
          <w:szCs w:val="22"/>
        </w:rPr>
        <w:t>)</w:t>
      </w:r>
      <w:r w:rsidRPr="00923A21">
        <w:rPr>
          <w:sz w:val="22"/>
          <w:szCs w:val="22"/>
        </w:rPr>
        <w:t>,</w:t>
      </w:r>
      <w:r>
        <w:rPr>
          <w:sz w:val="22"/>
          <w:szCs w:val="22"/>
        </w:rPr>
        <w:t xml:space="preserve"> </w:t>
      </w:r>
      <w:r w:rsidRPr="00923A21">
        <w:rPr>
          <w:sz w:val="22"/>
          <w:szCs w:val="22"/>
        </w:rPr>
        <w:t>PEPFAR, and domestic funding for ARV procurement.</w:t>
      </w:r>
      <w:r>
        <w:rPr>
          <w:sz w:val="22"/>
          <w:szCs w:val="22"/>
        </w:rPr>
        <w:t xml:space="preserve"> </w:t>
      </w:r>
      <w:r w:rsidRPr="00C53AE0">
        <w:rPr>
          <w:sz w:val="22"/>
          <w:szCs w:val="22"/>
        </w:rPr>
        <w:t xml:space="preserve">This new generic formulation unlocks DTG access to CLHIV who are at least </w:t>
      </w:r>
      <w:r>
        <w:rPr>
          <w:sz w:val="22"/>
          <w:szCs w:val="22"/>
        </w:rPr>
        <w:t>4</w:t>
      </w:r>
      <w:r w:rsidRPr="00C53AE0">
        <w:rPr>
          <w:sz w:val="22"/>
          <w:szCs w:val="22"/>
        </w:rPr>
        <w:t xml:space="preserve"> weeks of age and weigh less than 20 kg. The 2020 WHO Policy Brief included for the first time DTG dosing for children less than 20 kg (see Table 3)</w:t>
      </w:r>
      <w:r>
        <w:rPr>
          <w:sz w:val="22"/>
          <w:szCs w:val="22"/>
        </w:rPr>
        <w:t>.</w:t>
      </w:r>
      <w:r w:rsidRPr="00C53AE0">
        <w:rPr>
          <w:sz w:val="22"/>
          <w:szCs w:val="22"/>
        </w:rPr>
        <w:t xml:space="preserve"> For children over 20 kg, </w:t>
      </w:r>
      <w:r w:rsidRPr="00923A21">
        <w:rPr>
          <w:color w:val="000000" w:themeColor="text1"/>
        </w:rPr>
        <w:t xml:space="preserve">abacavir + lamivudine </w:t>
      </w:r>
      <w:r>
        <w:rPr>
          <w:color w:val="000000" w:themeColor="text1"/>
        </w:rPr>
        <w:t>(</w:t>
      </w:r>
      <w:r w:rsidRPr="00C53AE0">
        <w:rPr>
          <w:sz w:val="22"/>
          <w:szCs w:val="22"/>
        </w:rPr>
        <w:t>ABC + 3TC</w:t>
      </w:r>
      <w:r>
        <w:rPr>
          <w:sz w:val="22"/>
          <w:szCs w:val="22"/>
        </w:rPr>
        <w:t>)</w:t>
      </w:r>
      <w:r w:rsidRPr="00C53AE0">
        <w:rPr>
          <w:sz w:val="22"/>
          <w:szCs w:val="22"/>
        </w:rPr>
        <w:t xml:space="preserve"> is combined with the DTG 50 mg single tablet, and for those over 30 kg</w:t>
      </w:r>
      <w:r>
        <w:rPr>
          <w:sz w:val="22"/>
          <w:szCs w:val="22"/>
        </w:rPr>
        <w:t>,</w:t>
      </w:r>
      <w:r w:rsidRPr="00C53AE0">
        <w:rPr>
          <w:sz w:val="22"/>
          <w:szCs w:val="22"/>
        </w:rPr>
        <w:t xml:space="preserve"> the </w:t>
      </w:r>
      <w:r>
        <w:rPr>
          <w:sz w:val="22"/>
          <w:szCs w:val="22"/>
        </w:rPr>
        <w:t>fixed-dose combination (</w:t>
      </w:r>
      <w:r w:rsidRPr="00C53AE0">
        <w:rPr>
          <w:sz w:val="22"/>
          <w:szCs w:val="22"/>
        </w:rPr>
        <w:t>FDC</w:t>
      </w:r>
      <w:r>
        <w:rPr>
          <w:sz w:val="22"/>
          <w:szCs w:val="22"/>
        </w:rPr>
        <w:t>)</w:t>
      </w:r>
      <w:r w:rsidRPr="00C53AE0">
        <w:rPr>
          <w:sz w:val="22"/>
          <w:szCs w:val="22"/>
        </w:rPr>
        <w:t xml:space="preserve">, tenofovir/3TC/DTG (TLD), is recommended. </w:t>
      </w:r>
    </w:p>
    <w:p w14:paraId="14787125" w14:textId="77777777" w:rsidR="007758F6" w:rsidRPr="00C53AE0" w:rsidRDefault="007758F6" w:rsidP="007758F6">
      <w:pPr>
        <w:spacing w:after="0"/>
        <w:jc w:val="center"/>
        <w:rPr>
          <w:bCs/>
          <w:lang w:val="en-GB"/>
        </w:rPr>
      </w:pPr>
      <w:r w:rsidRPr="00C53AE0">
        <w:rPr>
          <w:b/>
          <w:bCs/>
          <w:lang w:val="en-GB"/>
        </w:rPr>
        <w:t>Table 2</w:t>
      </w:r>
      <w:r w:rsidRPr="00C53AE0">
        <w:rPr>
          <w:lang w:val="en-GB"/>
        </w:rPr>
        <w:t xml:space="preserve">: </w:t>
      </w:r>
      <w:r w:rsidRPr="00C53AE0">
        <w:rPr>
          <w:bCs/>
          <w:lang w:val="en-GB"/>
        </w:rPr>
        <w:t>DTG formulations for all children from 4 weeks of age</w:t>
      </w:r>
    </w:p>
    <w:tbl>
      <w:tblPr>
        <w:tblW w:w="7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20" w:firstRow="1" w:lastRow="0" w:firstColumn="0" w:lastColumn="0" w:noHBand="0" w:noVBand="1"/>
      </w:tblPr>
      <w:tblGrid>
        <w:gridCol w:w="1448"/>
        <w:gridCol w:w="6066"/>
      </w:tblGrid>
      <w:tr w:rsidR="007758F6" w:rsidRPr="00C53AE0" w14:paraId="35678803" w14:textId="77777777" w:rsidTr="007C2693">
        <w:trPr>
          <w:trHeight w:val="20"/>
          <w:jc w:val="center"/>
        </w:trPr>
        <w:tc>
          <w:tcPr>
            <w:tcW w:w="1448" w:type="dxa"/>
            <w:shd w:val="clear" w:color="auto" w:fill="244061" w:themeFill="accent1" w:themeFillShade="80"/>
            <w:tcMar>
              <w:top w:w="41" w:type="dxa"/>
              <w:left w:w="41" w:type="dxa"/>
              <w:bottom w:w="41" w:type="dxa"/>
              <w:right w:w="41" w:type="dxa"/>
            </w:tcMar>
            <w:vAlign w:val="center"/>
            <w:hideMark/>
          </w:tcPr>
          <w:p w14:paraId="6B995522" w14:textId="77777777" w:rsidR="007758F6" w:rsidRPr="00C53AE0" w:rsidRDefault="007758F6" w:rsidP="007C2693">
            <w:pPr>
              <w:spacing w:after="0" w:line="216" w:lineRule="auto"/>
              <w:jc w:val="center"/>
              <w:rPr>
                <w:rFonts w:ascii="Arial" w:eastAsia="Times New Roman" w:hAnsi="Arial" w:cs="Arial"/>
                <w:b/>
                <w:color w:val="FFFFFF" w:themeColor="background1"/>
                <w:sz w:val="20"/>
                <w:szCs w:val="20"/>
                <w:lang w:val="en-GB" w:eastAsia="en-GB"/>
              </w:rPr>
            </w:pPr>
            <w:r w:rsidRPr="00C53AE0">
              <w:rPr>
                <w:rFonts w:eastAsia="Arial" w:hAnsi="Calibri" w:cs="Arial"/>
                <w:b/>
                <w:color w:val="FFFFFF" w:themeColor="background1"/>
                <w:kern w:val="24"/>
                <w:sz w:val="20"/>
                <w:szCs w:val="20"/>
                <w:lang w:val="en-GB" w:eastAsia="en-GB"/>
              </w:rPr>
              <w:t>Weight</w:t>
            </w:r>
          </w:p>
        </w:tc>
        <w:tc>
          <w:tcPr>
            <w:tcW w:w="6066" w:type="dxa"/>
            <w:shd w:val="clear" w:color="auto" w:fill="244061" w:themeFill="accent1" w:themeFillShade="80"/>
            <w:tcMar>
              <w:top w:w="41" w:type="dxa"/>
              <w:left w:w="41" w:type="dxa"/>
              <w:bottom w:w="41" w:type="dxa"/>
              <w:right w:w="41" w:type="dxa"/>
            </w:tcMar>
            <w:vAlign w:val="center"/>
            <w:hideMark/>
          </w:tcPr>
          <w:p w14:paraId="7463D822" w14:textId="77777777" w:rsidR="007758F6" w:rsidRPr="00C53AE0" w:rsidRDefault="007758F6" w:rsidP="007C2693">
            <w:pPr>
              <w:spacing w:after="0" w:line="216" w:lineRule="auto"/>
              <w:rPr>
                <w:rFonts w:ascii="Arial" w:eastAsia="Times New Roman" w:hAnsi="Arial" w:cs="Arial"/>
                <w:b/>
                <w:bCs/>
                <w:color w:val="FFFFFF" w:themeColor="background1"/>
                <w:sz w:val="20"/>
                <w:szCs w:val="20"/>
                <w:lang w:val="en-GB" w:eastAsia="en-GB"/>
              </w:rPr>
            </w:pPr>
            <w:r w:rsidRPr="00C53AE0">
              <w:rPr>
                <w:rFonts w:eastAsia="Arial" w:hAnsi="Calibri" w:cs="Arial"/>
                <w:b/>
                <w:bCs/>
                <w:color w:val="FFFFFF" w:themeColor="background1"/>
                <w:kern w:val="24"/>
                <w:sz w:val="20"/>
                <w:szCs w:val="20"/>
                <w:lang w:val="en-GB" w:eastAsia="en-GB"/>
              </w:rPr>
              <w:t>WHO Recommended Formulation</w:t>
            </w:r>
          </w:p>
        </w:tc>
      </w:tr>
      <w:tr w:rsidR="007758F6" w:rsidRPr="00C53AE0" w14:paraId="0D76B127" w14:textId="77777777" w:rsidTr="007C2693">
        <w:trPr>
          <w:trHeight w:val="237"/>
          <w:jc w:val="center"/>
        </w:trPr>
        <w:tc>
          <w:tcPr>
            <w:tcW w:w="1448" w:type="dxa"/>
            <w:shd w:val="clear" w:color="auto" w:fill="auto"/>
            <w:tcMar>
              <w:top w:w="41" w:type="dxa"/>
              <w:left w:w="41" w:type="dxa"/>
              <w:bottom w:w="41" w:type="dxa"/>
              <w:right w:w="41" w:type="dxa"/>
            </w:tcMar>
            <w:vAlign w:val="center"/>
          </w:tcPr>
          <w:p w14:paraId="5FD9B813" w14:textId="77777777" w:rsidR="007758F6" w:rsidRPr="00B635D6" w:rsidRDefault="007758F6" w:rsidP="007C2693">
            <w:pPr>
              <w:pStyle w:val="NormalWeb"/>
              <w:spacing w:before="0" w:beforeAutospacing="0" w:after="0" w:afterAutospacing="0" w:line="204" w:lineRule="auto"/>
              <w:rPr>
                <w:rFonts w:ascii="Arial" w:hAnsi="Arial" w:cs="Arial"/>
                <w:sz w:val="18"/>
                <w:szCs w:val="18"/>
              </w:rPr>
            </w:pPr>
            <w:r w:rsidRPr="00B635D6">
              <w:rPr>
                <w:rFonts w:asciiTheme="minorHAnsi" w:eastAsia="Calibri" w:hAnsi="Calibri" w:cs="Calibri"/>
                <w:color w:val="000000" w:themeColor="text1"/>
                <w:kern w:val="24"/>
                <w:sz w:val="18"/>
                <w:szCs w:val="18"/>
              </w:rPr>
              <w:t>&lt; 20 kg</w:t>
            </w:r>
          </w:p>
        </w:tc>
        <w:tc>
          <w:tcPr>
            <w:tcW w:w="6066" w:type="dxa"/>
            <w:shd w:val="clear" w:color="auto" w:fill="auto"/>
            <w:tcMar>
              <w:top w:w="41" w:type="dxa"/>
              <w:left w:w="41" w:type="dxa"/>
              <w:bottom w:w="41" w:type="dxa"/>
              <w:right w:w="41" w:type="dxa"/>
            </w:tcMar>
            <w:vAlign w:val="center"/>
            <w:hideMark/>
          </w:tcPr>
          <w:p w14:paraId="3E779AB4" w14:textId="77777777" w:rsidR="007758F6" w:rsidRPr="00B635D6" w:rsidRDefault="007758F6" w:rsidP="007C2693">
            <w:pPr>
              <w:pStyle w:val="NormalWeb"/>
              <w:spacing w:before="60" w:beforeAutospacing="0" w:after="60" w:afterAutospacing="0" w:line="204" w:lineRule="auto"/>
              <w:rPr>
                <w:rFonts w:ascii="Arial" w:hAnsi="Arial" w:cs="Arial"/>
                <w:sz w:val="18"/>
                <w:szCs w:val="18"/>
              </w:rPr>
            </w:pPr>
            <w:r w:rsidRPr="00B635D6">
              <w:rPr>
                <w:rFonts w:asciiTheme="minorHAnsi" w:eastAsia="Calibri" w:hAnsi="Calibri" w:cs="Calibri"/>
                <w:color w:val="000000" w:themeColor="text1"/>
                <w:kern w:val="24"/>
                <w:sz w:val="18"/>
                <w:szCs w:val="18"/>
              </w:rPr>
              <w:t xml:space="preserve">ABC/3TC (120/60 mg) dispersible dual </w:t>
            </w:r>
            <w:r w:rsidRPr="00B635D6">
              <w:rPr>
                <w:rFonts w:asciiTheme="minorHAnsi" w:eastAsia="Calibri" w:hAnsi="Calibri" w:cs="Calibri"/>
                <w:b/>
                <w:bCs/>
                <w:color w:val="000000" w:themeColor="text1"/>
                <w:kern w:val="24"/>
                <w:sz w:val="18"/>
                <w:szCs w:val="18"/>
              </w:rPr>
              <w:t>+ DTG 10 mg dispersible scored</w:t>
            </w:r>
          </w:p>
        </w:tc>
      </w:tr>
      <w:tr w:rsidR="007758F6" w:rsidRPr="00C53AE0" w14:paraId="43523769" w14:textId="77777777" w:rsidTr="007C2693">
        <w:trPr>
          <w:trHeight w:val="20"/>
          <w:jc w:val="center"/>
        </w:trPr>
        <w:tc>
          <w:tcPr>
            <w:tcW w:w="1448" w:type="dxa"/>
            <w:shd w:val="clear" w:color="auto" w:fill="auto"/>
            <w:tcMar>
              <w:top w:w="41" w:type="dxa"/>
              <w:left w:w="41" w:type="dxa"/>
              <w:bottom w:w="41" w:type="dxa"/>
              <w:right w:w="41" w:type="dxa"/>
            </w:tcMar>
            <w:vAlign w:val="center"/>
          </w:tcPr>
          <w:p w14:paraId="1D76DCC4" w14:textId="77777777" w:rsidR="007758F6" w:rsidRPr="00B635D6" w:rsidRDefault="007758F6" w:rsidP="007C2693">
            <w:pPr>
              <w:pStyle w:val="NormalWeb"/>
              <w:spacing w:before="0" w:beforeAutospacing="0" w:after="0" w:afterAutospacing="0" w:line="204" w:lineRule="auto"/>
              <w:rPr>
                <w:rFonts w:ascii="Arial" w:hAnsi="Arial" w:cs="Arial"/>
                <w:sz w:val="18"/>
                <w:szCs w:val="18"/>
              </w:rPr>
            </w:pPr>
            <w:r w:rsidRPr="00B635D6">
              <w:rPr>
                <w:rFonts w:asciiTheme="minorHAnsi" w:eastAsia="Calibri" w:hAnsi="Calibri" w:cs="Calibri"/>
                <w:color w:val="000000" w:themeColor="text1"/>
                <w:kern w:val="24"/>
                <w:sz w:val="18"/>
                <w:szCs w:val="18"/>
              </w:rPr>
              <w:t>20 to 24.9 kg*</w:t>
            </w:r>
          </w:p>
        </w:tc>
        <w:tc>
          <w:tcPr>
            <w:tcW w:w="6066" w:type="dxa"/>
            <w:shd w:val="clear" w:color="auto" w:fill="auto"/>
            <w:tcMar>
              <w:top w:w="41" w:type="dxa"/>
              <w:left w:w="41" w:type="dxa"/>
              <w:bottom w:w="41" w:type="dxa"/>
              <w:right w:w="41" w:type="dxa"/>
            </w:tcMar>
            <w:vAlign w:val="center"/>
            <w:hideMark/>
          </w:tcPr>
          <w:p w14:paraId="74001C7F" w14:textId="77777777" w:rsidR="007758F6" w:rsidRPr="00B635D6" w:rsidRDefault="007758F6" w:rsidP="007C2693">
            <w:pPr>
              <w:pStyle w:val="NormalWeb"/>
              <w:spacing w:before="60" w:beforeAutospacing="0" w:after="60" w:afterAutospacing="0" w:line="204" w:lineRule="auto"/>
              <w:rPr>
                <w:rFonts w:ascii="Arial" w:hAnsi="Arial" w:cs="Arial"/>
                <w:sz w:val="18"/>
                <w:szCs w:val="18"/>
              </w:rPr>
            </w:pPr>
            <w:r w:rsidRPr="00B635D6">
              <w:rPr>
                <w:rFonts w:asciiTheme="minorHAnsi" w:eastAsia="Calibri" w:hAnsi="Calibri" w:cs="Calibri"/>
                <w:color w:val="000000" w:themeColor="text1"/>
                <w:kern w:val="24"/>
                <w:sz w:val="18"/>
                <w:szCs w:val="18"/>
              </w:rPr>
              <w:t xml:space="preserve">ABC/3TC (120/60 mg) dispersible dual </w:t>
            </w:r>
            <w:r w:rsidRPr="00B635D6">
              <w:rPr>
                <w:rFonts w:asciiTheme="minorHAnsi" w:eastAsia="Calibri" w:hAnsi="Calibri" w:cs="Calibri"/>
                <w:b/>
                <w:bCs/>
                <w:color w:val="000000" w:themeColor="text1"/>
                <w:kern w:val="24"/>
                <w:sz w:val="18"/>
                <w:szCs w:val="18"/>
              </w:rPr>
              <w:t xml:space="preserve">+ </w:t>
            </w:r>
            <w:r w:rsidRPr="0040125E">
              <w:rPr>
                <w:rFonts w:asciiTheme="minorHAnsi" w:eastAsia="Calibri" w:hAnsi="Calibri" w:cs="Calibri"/>
                <w:b/>
                <w:bCs/>
                <w:color w:val="000000" w:themeColor="text1"/>
                <w:kern w:val="24"/>
                <w:sz w:val="18"/>
                <w:szCs w:val="18"/>
              </w:rPr>
              <w:t>DTG 50 mg single</w:t>
            </w:r>
          </w:p>
        </w:tc>
      </w:tr>
      <w:tr w:rsidR="007758F6" w:rsidRPr="00C53AE0" w14:paraId="1E9A119D" w14:textId="77777777" w:rsidTr="007C2693">
        <w:trPr>
          <w:trHeight w:val="20"/>
          <w:jc w:val="center"/>
        </w:trPr>
        <w:tc>
          <w:tcPr>
            <w:tcW w:w="1448" w:type="dxa"/>
            <w:tcBorders>
              <w:top w:val="single" w:sz="4" w:space="0" w:color="auto"/>
              <w:left w:val="single" w:sz="4" w:space="0" w:color="auto"/>
              <w:bottom w:val="single" w:sz="4" w:space="0" w:color="auto"/>
              <w:right w:val="single" w:sz="4" w:space="0" w:color="auto"/>
            </w:tcBorders>
            <w:shd w:val="clear" w:color="auto" w:fill="auto"/>
            <w:tcMar>
              <w:top w:w="41" w:type="dxa"/>
              <w:left w:w="41" w:type="dxa"/>
              <w:bottom w:w="41" w:type="dxa"/>
              <w:right w:w="41" w:type="dxa"/>
            </w:tcMar>
            <w:vAlign w:val="center"/>
          </w:tcPr>
          <w:p w14:paraId="442499FA" w14:textId="77777777" w:rsidR="007758F6" w:rsidRPr="00B635D6" w:rsidRDefault="007758F6" w:rsidP="007C2693">
            <w:pPr>
              <w:pStyle w:val="NormalWeb"/>
              <w:spacing w:before="0" w:beforeAutospacing="0" w:after="0" w:afterAutospacing="0" w:line="204" w:lineRule="auto"/>
              <w:rPr>
                <w:rFonts w:asciiTheme="minorHAnsi" w:eastAsia="Calibri" w:hAnsi="Calibri" w:cs="Calibri"/>
                <w:color w:val="000000" w:themeColor="text1"/>
                <w:kern w:val="24"/>
                <w:sz w:val="18"/>
                <w:szCs w:val="18"/>
              </w:rPr>
            </w:pPr>
            <w:r w:rsidRPr="00B635D6">
              <w:rPr>
                <w:rFonts w:asciiTheme="minorHAnsi" w:eastAsia="Calibri" w:hAnsi="Calibri" w:cs="Calibri"/>
                <w:color w:val="000000" w:themeColor="text1"/>
                <w:kern w:val="24"/>
                <w:sz w:val="18"/>
                <w:szCs w:val="18"/>
              </w:rPr>
              <w:t>25 to 29.9 kg</w:t>
            </w:r>
          </w:p>
        </w:tc>
        <w:tc>
          <w:tcPr>
            <w:tcW w:w="6066" w:type="dxa"/>
            <w:tcBorders>
              <w:top w:val="single" w:sz="4" w:space="0" w:color="auto"/>
              <w:left w:val="single" w:sz="4" w:space="0" w:color="auto"/>
              <w:bottom w:val="single" w:sz="4" w:space="0" w:color="auto"/>
              <w:right w:val="single" w:sz="4" w:space="0" w:color="auto"/>
            </w:tcBorders>
            <w:shd w:val="clear" w:color="auto" w:fill="auto"/>
            <w:tcMar>
              <w:top w:w="41" w:type="dxa"/>
              <w:left w:w="41" w:type="dxa"/>
              <w:bottom w:w="41" w:type="dxa"/>
              <w:right w:w="41" w:type="dxa"/>
            </w:tcMar>
            <w:vAlign w:val="center"/>
            <w:hideMark/>
          </w:tcPr>
          <w:p w14:paraId="4B33D5B3" w14:textId="77777777" w:rsidR="007758F6" w:rsidRPr="00B635D6" w:rsidRDefault="007758F6" w:rsidP="007C2693">
            <w:pPr>
              <w:pStyle w:val="NormalWeb"/>
              <w:spacing w:before="60" w:beforeAutospacing="0" w:after="60" w:afterAutospacing="0" w:line="204" w:lineRule="auto"/>
              <w:rPr>
                <w:rFonts w:asciiTheme="minorHAnsi" w:eastAsia="Calibri" w:hAnsi="Calibri" w:cs="Calibri"/>
                <w:color w:val="000000" w:themeColor="text1"/>
                <w:kern w:val="24"/>
                <w:sz w:val="18"/>
                <w:szCs w:val="18"/>
              </w:rPr>
            </w:pPr>
            <w:r w:rsidRPr="00B635D6">
              <w:rPr>
                <w:rFonts w:asciiTheme="minorHAnsi" w:eastAsia="Calibri" w:hAnsi="Calibri" w:cs="Calibri"/>
                <w:color w:val="000000" w:themeColor="text1"/>
                <w:kern w:val="24"/>
                <w:sz w:val="18"/>
                <w:szCs w:val="18"/>
              </w:rPr>
              <w:t xml:space="preserve">ABC/3TC (600/300 mg) dual + </w:t>
            </w:r>
            <w:r w:rsidRPr="0040125E">
              <w:rPr>
                <w:rFonts w:asciiTheme="minorHAnsi" w:eastAsia="Calibri" w:hAnsi="Calibri" w:cs="Calibri"/>
                <w:b/>
                <w:bCs/>
                <w:color w:val="000000" w:themeColor="text1"/>
                <w:kern w:val="24"/>
                <w:sz w:val="18"/>
                <w:szCs w:val="18"/>
              </w:rPr>
              <w:t>DTG 50 mg single</w:t>
            </w:r>
          </w:p>
        </w:tc>
      </w:tr>
      <w:tr w:rsidR="007758F6" w:rsidRPr="00C53AE0" w14:paraId="44E69B13" w14:textId="77777777" w:rsidTr="007C2693">
        <w:trPr>
          <w:trHeight w:val="20"/>
          <w:jc w:val="center"/>
        </w:trPr>
        <w:tc>
          <w:tcPr>
            <w:tcW w:w="1448" w:type="dxa"/>
            <w:tcBorders>
              <w:top w:val="single" w:sz="4" w:space="0" w:color="auto"/>
              <w:left w:val="single" w:sz="4" w:space="0" w:color="auto"/>
              <w:bottom w:val="single" w:sz="4" w:space="0" w:color="auto"/>
              <w:right w:val="single" w:sz="4" w:space="0" w:color="auto"/>
            </w:tcBorders>
            <w:shd w:val="clear" w:color="auto" w:fill="auto"/>
            <w:tcMar>
              <w:top w:w="41" w:type="dxa"/>
              <w:left w:w="41" w:type="dxa"/>
              <w:bottom w:w="41" w:type="dxa"/>
              <w:right w:w="41" w:type="dxa"/>
            </w:tcMar>
            <w:vAlign w:val="center"/>
          </w:tcPr>
          <w:p w14:paraId="17A288DB" w14:textId="77777777" w:rsidR="007758F6" w:rsidRPr="00B635D6" w:rsidRDefault="007758F6" w:rsidP="007C2693">
            <w:pPr>
              <w:pStyle w:val="NormalWeb"/>
              <w:spacing w:before="0" w:beforeAutospacing="0" w:after="0" w:afterAutospacing="0" w:line="204" w:lineRule="auto"/>
              <w:rPr>
                <w:rFonts w:asciiTheme="minorHAnsi" w:eastAsia="Calibri" w:hAnsi="Calibri" w:cs="Calibri"/>
                <w:color w:val="000000" w:themeColor="text1"/>
                <w:kern w:val="24"/>
                <w:sz w:val="18"/>
                <w:szCs w:val="18"/>
              </w:rPr>
            </w:pPr>
            <w:r w:rsidRPr="00B635D6">
              <w:rPr>
                <w:rFonts w:asciiTheme="minorHAnsi" w:eastAsia="Calibri" w:hAnsi="Calibri" w:cs="Calibri"/>
                <w:color w:val="000000" w:themeColor="text1"/>
                <w:kern w:val="24"/>
                <w:sz w:val="18"/>
                <w:szCs w:val="18"/>
              </w:rPr>
              <w:t>≥ 30 kg</w:t>
            </w:r>
          </w:p>
        </w:tc>
        <w:tc>
          <w:tcPr>
            <w:tcW w:w="6066" w:type="dxa"/>
            <w:tcBorders>
              <w:top w:val="single" w:sz="4" w:space="0" w:color="auto"/>
              <w:left w:val="single" w:sz="4" w:space="0" w:color="auto"/>
              <w:bottom w:val="single" w:sz="4" w:space="0" w:color="auto"/>
              <w:right w:val="single" w:sz="4" w:space="0" w:color="auto"/>
            </w:tcBorders>
            <w:shd w:val="clear" w:color="auto" w:fill="auto"/>
            <w:tcMar>
              <w:top w:w="41" w:type="dxa"/>
              <w:left w:w="41" w:type="dxa"/>
              <w:bottom w:w="41" w:type="dxa"/>
              <w:right w:w="41" w:type="dxa"/>
            </w:tcMar>
            <w:vAlign w:val="center"/>
            <w:hideMark/>
          </w:tcPr>
          <w:p w14:paraId="516904B6" w14:textId="77777777" w:rsidR="007758F6" w:rsidRPr="00B635D6" w:rsidRDefault="007758F6" w:rsidP="007C2693">
            <w:pPr>
              <w:pStyle w:val="NormalWeb"/>
              <w:spacing w:before="60" w:beforeAutospacing="0" w:after="60" w:afterAutospacing="0" w:line="204" w:lineRule="auto"/>
              <w:rPr>
                <w:rFonts w:asciiTheme="minorHAnsi" w:eastAsia="Calibri" w:hAnsi="Calibri" w:cs="Calibri"/>
                <w:color w:val="000000" w:themeColor="text1"/>
                <w:kern w:val="24"/>
                <w:sz w:val="18"/>
                <w:szCs w:val="18"/>
              </w:rPr>
            </w:pPr>
            <w:r>
              <w:rPr>
                <w:b/>
                <w:bCs/>
                <w:noProof/>
              </w:rPr>
              <mc:AlternateContent>
                <mc:Choice Requires="wps">
                  <w:drawing>
                    <wp:anchor distT="0" distB="0" distL="114300" distR="114300" simplePos="0" relativeHeight="251663360" behindDoc="0" locked="0" layoutInCell="1" allowOverlap="1" wp14:anchorId="572E9AD2" wp14:editId="31F6548A">
                      <wp:simplePos x="0" y="0"/>
                      <wp:positionH relativeFrom="column">
                        <wp:posOffset>-929640</wp:posOffset>
                      </wp:positionH>
                      <wp:positionV relativeFrom="paragraph">
                        <wp:posOffset>170180</wp:posOffset>
                      </wp:positionV>
                      <wp:extent cx="4743450" cy="22860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4743450" cy="228600"/>
                              </a:xfrm>
                              <a:prstGeom prst="rect">
                                <a:avLst/>
                              </a:prstGeom>
                              <a:noFill/>
                              <a:ln w="6350">
                                <a:noFill/>
                              </a:ln>
                            </wps:spPr>
                            <wps:txbx>
                              <w:txbxContent>
                                <w:p w14:paraId="480EA1CE" w14:textId="77777777" w:rsidR="007758F6" w:rsidRPr="00C56383" w:rsidRDefault="007758F6" w:rsidP="007758F6">
                                  <w:r w:rsidRPr="00C56383">
                                    <w:rPr>
                                      <w:rFonts w:ascii="Calibri" w:eastAsiaTheme="minorEastAsia" w:hAnsi="Calibri"/>
                                      <w:i/>
                                      <w:iCs/>
                                      <w:color w:val="000000" w:themeColor="text1"/>
                                      <w:kern w:val="24"/>
                                      <w:sz w:val="18"/>
                                      <w:szCs w:val="18"/>
                                      <w:lang w:val="en-GB"/>
                                    </w:rPr>
                                    <w:t>*The switch to DTG 50 mg at 20 kg should only occur if the child is able to swallow whole tablets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2E9AD2" id="_x0000_t202" coordsize="21600,21600" o:spt="202" path="m,l,21600r21600,l21600,xe">
                      <v:stroke joinstyle="miter"/>
                      <v:path gradientshapeok="t" o:connecttype="rect"/>
                    </v:shapetype>
                    <v:shape id="Text Box 26" o:spid="_x0000_s1026" type="#_x0000_t202" style="position:absolute;margin-left:-73.2pt;margin-top:13.4pt;width:373.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" filled="f" stroked="f" strokeweight=".5pt">
                      <v:textbox>
                        <w:txbxContent>
                          <w:p w14:paraId="480EA1CE" w14:textId="77777777" w:rsidR="007758F6" w:rsidRPr="00C56383" w:rsidRDefault="007758F6" w:rsidP="007758F6">
                            <w:r w:rsidRPr="00C56383">
                              <w:rPr>
                                <w:rFonts w:ascii="Calibri" w:eastAsiaTheme="minorEastAsia" w:hAnsi="Calibri"/>
                                <w:i/>
                                <w:iCs/>
                                <w:color w:val="000000" w:themeColor="text1"/>
                                <w:kern w:val="24"/>
                                <w:sz w:val="18"/>
                                <w:szCs w:val="18"/>
                                <w:lang w:val="en-GB"/>
                              </w:rPr>
                              <w:t>*The switch to DTG 50 mg at 20 kg should only occur if the child is able to swallow whole tablets</w:t>
                            </w:r>
                          </w:p>
                        </w:txbxContent>
                      </v:textbox>
                    </v:shape>
                  </w:pict>
                </mc:Fallback>
              </mc:AlternateContent>
            </w:r>
            <w:r w:rsidRPr="00B635D6">
              <w:rPr>
                <w:rFonts w:asciiTheme="minorHAnsi" w:eastAsia="Calibri" w:hAnsi="Calibri" w:cs="Calibri"/>
                <w:color w:val="000000" w:themeColor="text1"/>
                <w:kern w:val="24"/>
                <w:sz w:val="18"/>
                <w:szCs w:val="18"/>
              </w:rPr>
              <w:t>FDC</w:t>
            </w:r>
            <w:r w:rsidRPr="0040125E">
              <w:rPr>
                <w:rFonts w:asciiTheme="minorHAnsi" w:eastAsia="Calibri" w:hAnsi="Calibri" w:cs="Calibri"/>
                <w:b/>
                <w:bCs/>
                <w:color w:val="000000" w:themeColor="text1"/>
                <w:kern w:val="24"/>
                <w:sz w:val="18"/>
                <w:szCs w:val="18"/>
              </w:rPr>
              <w:t xml:space="preserve"> TDF/3TC/DTG</w:t>
            </w:r>
            <w:r w:rsidRPr="00B635D6">
              <w:rPr>
                <w:rFonts w:asciiTheme="minorHAnsi" w:eastAsia="Calibri" w:hAnsi="Calibri" w:cs="Calibri"/>
                <w:color w:val="000000" w:themeColor="text1"/>
                <w:kern w:val="24"/>
                <w:sz w:val="18"/>
                <w:szCs w:val="18"/>
              </w:rPr>
              <w:t xml:space="preserve"> (300/300/50 mg) </w:t>
            </w:r>
          </w:p>
        </w:tc>
      </w:tr>
    </w:tbl>
    <w:p w14:paraId="5DD80363" w14:textId="77777777" w:rsidR="007758F6" w:rsidRDefault="007758F6" w:rsidP="007758F6">
      <w:pPr>
        <w:pStyle w:val="NormalWeb"/>
        <w:spacing w:before="0" w:beforeAutospacing="0" w:after="0" w:afterAutospacing="0" w:line="204" w:lineRule="auto"/>
        <w:rPr>
          <w:rFonts w:asciiTheme="minorHAnsi" w:eastAsia="Calibri" w:hAnsi="Calibri" w:cs="Calibri"/>
          <w:color w:val="000000" w:themeColor="text1"/>
          <w:kern w:val="24"/>
          <w:sz w:val="20"/>
          <w:szCs w:val="20"/>
        </w:rPr>
        <w:sectPr w:rsidR="007758F6" w:rsidSect="00C56383">
          <w:pgSz w:w="12240" w:h="15840"/>
          <w:pgMar w:top="1440" w:right="1440" w:bottom="576" w:left="1440" w:header="720" w:footer="720" w:gutter="0"/>
          <w:cols w:space="720"/>
          <w:titlePg/>
          <w:docGrid w:linePitch="360"/>
        </w:sectPr>
      </w:pPr>
    </w:p>
    <w:p w14:paraId="4306E4DA" w14:textId="77777777" w:rsidR="007758F6" w:rsidRPr="00C53AE0" w:rsidRDefault="007758F6" w:rsidP="007758F6">
      <w:pPr>
        <w:spacing w:after="0"/>
        <w:jc w:val="center"/>
        <w:rPr>
          <w:lang w:val="en-GB"/>
        </w:rPr>
      </w:pPr>
      <w:r w:rsidRPr="00C53AE0">
        <w:rPr>
          <w:noProof/>
        </w:rPr>
        <w:lastRenderedPageBreak/>
        <mc:AlternateContent>
          <mc:Choice Requires="wps">
            <w:drawing>
              <wp:anchor distT="0" distB="0" distL="114300" distR="114300" simplePos="0" relativeHeight="251664384" behindDoc="0" locked="0" layoutInCell="1" allowOverlap="1" wp14:anchorId="5215FB56" wp14:editId="3057FDD7">
                <wp:simplePos x="0" y="0"/>
                <wp:positionH relativeFrom="page">
                  <wp:posOffset>9525</wp:posOffset>
                </wp:positionH>
                <wp:positionV relativeFrom="paragraph">
                  <wp:posOffset>-914400</wp:posOffset>
                </wp:positionV>
                <wp:extent cx="7772400" cy="352425"/>
                <wp:effectExtent l="0" t="0" r="0" b="9525"/>
                <wp:wrapNone/>
                <wp:docPr id="24" name="Rectangle 24"/>
                <wp:cNvGraphicFramePr/>
                <a:graphic xmlns:a="http://schemas.openxmlformats.org/drawingml/2006/main">
                  <a:graphicData uri="http://schemas.microsoft.com/office/word/2010/wordprocessingShape">
                    <wps:wsp>
                      <wps:cNvSpPr/>
                      <wps:spPr>
                        <a:xfrm>
                          <a:off x="0" y="0"/>
                          <a:ext cx="7772400" cy="352425"/>
                        </a:xfrm>
                        <a:prstGeom prst="rect">
                          <a:avLst/>
                        </a:prstGeom>
                        <a:solidFill>
                          <a:schemeClr val="accent1">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622ABC" w14:textId="77777777" w:rsidR="007758F6" w:rsidRPr="003E4CC9" w:rsidRDefault="007758F6" w:rsidP="007758F6"/>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15FB56" id="Rectangle 24" o:spid="_x0000_s1027" style="position:absolute;left:0;text-align:left;margin-left:.75pt;margin-top:-1in;width:612pt;height:27.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" fillcolor="#243f60 [1604]" stroked="f" strokeweight="2pt">
                <v:textbox>
                  <w:txbxContent>
                    <w:p w14:paraId="74622ABC" w14:textId="77777777" w:rsidR="007758F6" w:rsidRPr="003E4CC9" w:rsidRDefault="007758F6" w:rsidP="007758F6"/>
                  </w:txbxContent>
                </v:textbox>
                <w10:wrap anchorx="page"/>
              </v:rect>
            </w:pict>
          </mc:Fallback>
        </mc:AlternateContent>
      </w:r>
      <w:r w:rsidRPr="00C53AE0">
        <w:rPr>
          <w:b/>
          <w:bCs/>
          <w:lang w:val="en-GB"/>
        </w:rPr>
        <w:t>Table 3:</w:t>
      </w:r>
      <w:r w:rsidRPr="00C53AE0">
        <w:rPr>
          <w:lang w:val="en-GB"/>
        </w:rPr>
        <w:t xml:space="preserve"> WHO recommended dosing for DTG 10 mg dispersible</w:t>
      </w:r>
      <w:r>
        <w:rPr>
          <w:lang w:val="en-GB"/>
        </w:rPr>
        <w:t>, scored</w:t>
      </w:r>
      <w:r w:rsidRPr="00C53AE0">
        <w:rPr>
          <w:lang w:val="en-GB"/>
        </w:rPr>
        <w:t xml:space="preserve"> tablet</w:t>
      </w:r>
    </w:p>
    <w:tbl>
      <w:tblPr>
        <w:tblW w:w="7465" w:type="dxa"/>
        <w:jc w:val="center"/>
        <w:tblCellMar>
          <w:left w:w="0" w:type="dxa"/>
          <w:right w:w="0" w:type="dxa"/>
        </w:tblCellMar>
        <w:tblLook w:val="0420" w:firstRow="1" w:lastRow="0" w:firstColumn="0" w:lastColumn="0" w:noHBand="0" w:noVBand="1"/>
      </w:tblPr>
      <w:tblGrid>
        <w:gridCol w:w="2155"/>
        <w:gridCol w:w="2520"/>
        <w:gridCol w:w="2790"/>
      </w:tblGrid>
      <w:tr w:rsidR="007758F6" w:rsidRPr="00C53AE0" w14:paraId="05909997" w14:textId="77777777" w:rsidTr="007C2693">
        <w:trPr>
          <w:trHeight w:val="190"/>
          <w:jc w:val="center"/>
        </w:trPr>
        <w:tc>
          <w:tcPr>
            <w:tcW w:w="2155"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14:paraId="7A864AA5" w14:textId="77777777" w:rsidR="007758F6" w:rsidRPr="00C53AE0" w:rsidRDefault="007758F6" w:rsidP="007C2693">
            <w:pPr>
              <w:pStyle w:val="NormalWeb"/>
              <w:spacing w:before="0" w:beforeAutospacing="0" w:after="0" w:afterAutospacing="0" w:line="276" w:lineRule="auto"/>
              <w:jc w:val="center"/>
              <w:rPr>
                <w:rFonts w:ascii="Arial" w:hAnsi="Arial" w:cs="Arial"/>
                <w:b/>
                <w:color w:val="FFFFFF" w:themeColor="background1"/>
                <w:sz w:val="20"/>
                <w:szCs w:val="20"/>
              </w:rPr>
            </w:pPr>
            <w:r w:rsidRPr="00C53AE0">
              <w:rPr>
                <w:rFonts w:ascii="Calibri" w:eastAsia="Calibri" w:hAnsi="Calibri" w:cs="Calibri"/>
                <w:b/>
                <w:color w:val="FFFFFF" w:themeColor="background1"/>
                <w:kern w:val="24"/>
                <w:sz w:val="20"/>
                <w:szCs w:val="20"/>
              </w:rPr>
              <w:t>Weight</w:t>
            </w:r>
          </w:p>
        </w:tc>
        <w:tc>
          <w:tcPr>
            <w:tcW w:w="2520"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14:paraId="0CEA98C7"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
                <w:color w:val="FFFFFF" w:themeColor="background1"/>
                <w:kern w:val="24"/>
                <w:sz w:val="20"/>
                <w:szCs w:val="20"/>
              </w:rPr>
            </w:pPr>
            <w:r w:rsidRPr="00C53AE0">
              <w:rPr>
                <w:rFonts w:ascii="Calibri" w:eastAsia="Calibri" w:hAnsi="Calibri" w:cs="Calibri"/>
                <w:b/>
                <w:color w:val="FFFFFF" w:themeColor="background1"/>
                <w:kern w:val="24"/>
                <w:sz w:val="20"/>
                <w:szCs w:val="20"/>
              </w:rPr>
              <w:t>Recommended Daily Dose</w:t>
            </w:r>
          </w:p>
        </w:tc>
        <w:tc>
          <w:tcPr>
            <w:tcW w:w="2790" w:type="dxa"/>
            <w:tcBorders>
              <w:top w:val="single" w:sz="4" w:space="0" w:color="auto"/>
              <w:left w:val="single" w:sz="4" w:space="0" w:color="auto"/>
              <w:bottom w:val="single" w:sz="4" w:space="0" w:color="auto"/>
              <w:right w:val="single" w:sz="4" w:space="0" w:color="auto"/>
            </w:tcBorders>
            <w:shd w:val="clear" w:color="auto" w:fill="244061" w:themeFill="accent1" w:themeFillShade="80"/>
            <w:vAlign w:val="center"/>
          </w:tcPr>
          <w:p w14:paraId="1EF3AF16"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
                <w:color w:val="FFFFFF" w:themeColor="background1"/>
                <w:kern w:val="24"/>
                <w:sz w:val="20"/>
                <w:szCs w:val="20"/>
              </w:rPr>
            </w:pPr>
            <w:r w:rsidRPr="00C53AE0">
              <w:rPr>
                <w:rFonts w:ascii="Calibri" w:eastAsia="Calibri" w:hAnsi="Calibri" w:cs="Calibri"/>
                <w:b/>
                <w:color w:val="FFFFFF" w:themeColor="background1"/>
                <w:kern w:val="24"/>
                <w:sz w:val="20"/>
                <w:szCs w:val="20"/>
              </w:rPr>
              <w:t>Number of Daily Tablets</w:t>
            </w:r>
          </w:p>
        </w:tc>
      </w:tr>
      <w:tr w:rsidR="007758F6" w:rsidRPr="00C53AE0" w14:paraId="16FA16CD" w14:textId="77777777" w:rsidTr="007C2693">
        <w:trPr>
          <w:trHeight w:val="359"/>
          <w:jc w:val="center"/>
        </w:trPr>
        <w:tc>
          <w:tcPr>
            <w:tcW w:w="2155" w:type="dxa"/>
            <w:tcBorders>
              <w:top w:val="single" w:sz="4" w:space="0" w:color="auto"/>
              <w:left w:val="single" w:sz="4" w:space="0" w:color="auto"/>
              <w:bottom w:val="single" w:sz="4" w:space="0" w:color="auto"/>
              <w:right w:val="single" w:sz="4" w:space="0" w:color="auto"/>
            </w:tcBorders>
            <w:vAlign w:val="center"/>
          </w:tcPr>
          <w:p w14:paraId="1760EAFC" w14:textId="77777777" w:rsidR="007758F6" w:rsidRPr="00C53AE0" w:rsidRDefault="007758F6" w:rsidP="007C2693">
            <w:pPr>
              <w:pStyle w:val="NormalWeb"/>
              <w:spacing w:before="0" w:beforeAutospacing="0" w:after="0" w:afterAutospacing="0" w:line="276" w:lineRule="auto"/>
              <w:ind w:left="72"/>
              <w:rPr>
                <w:rFonts w:ascii="Arial" w:hAnsi="Arial" w:cs="Arial"/>
                <w:sz w:val="20"/>
                <w:szCs w:val="20"/>
              </w:rPr>
            </w:pPr>
            <w:r w:rsidRPr="00C53AE0">
              <w:rPr>
                <w:rFonts w:ascii="Calibri" w:eastAsia="Calibri" w:hAnsi="Calibri" w:cs="Calibri"/>
                <w:color w:val="000000" w:themeColor="text1"/>
                <w:kern w:val="24"/>
                <w:sz w:val="20"/>
                <w:szCs w:val="20"/>
              </w:rPr>
              <w:t>3 to &lt; 6 kg</w:t>
            </w:r>
          </w:p>
        </w:tc>
        <w:tc>
          <w:tcPr>
            <w:tcW w:w="2520" w:type="dxa"/>
            <w:tcBorders>
              <w:top w:val="single" w:sz="4" w:space="0" w:color="auto"/>
              <w:left w:val="single" w:sz="4" w:space="0" w:color="auto"/>
              <w:bottom w:val="single" w:sz="4" w:space="0" w:color="auto"/>
              <w:right w:val="single" w:sz="4" w:space="0" w:color="auto"/>
            </w:tcBorders>
            <w:vAlign w:val="center"/>
          </w:tcPr>
          <w:p w14:paraId="7C2370B4" w14:textId="77777777" w:rsidR="007758F6" w:rsidRPr="00C53AE0" w:rsidRDefault="007758F6" w:rsidP="007C2693">
            <w:pPr>
              <w:pStyle w:val="NormalWeb"/>
              <w:spacing w:before="60" w:beforeAutospacing="0" w:after="60" w:afterAutospacing="0" w:line="228" w:lineRule="auto"/>
              <w:ind w:left="72"/>
              <w:jc w:val="center"/>
              <w:rPr>
                <w:rFonts w:ascii="Calibri" w:eastAsia="Calibri" w:hAnsi="Calibri" w:cs="Calibri"/>
                <w:color w:val="000000" w:themeColor="text1"/>
                <w:kern w:val="24"/>
                <w:sz w:val="20"/>
                <w:szCs w:val="20"/>
              </w:rPr>
            </w:pPr>
            <w:r w:rsidRPr="00C53AE0">
              <w:rPr>
                <w:rFonts w:ascii="Calibri" w:eastAsia="Calibri" w:hAnsi="Calibri" w:cs="Calibri"/>
                <w:color w:val="000000" w:themeColor="text1"/>
                <w:kern w:val="24"/>
                <w:sz w:val="20"/>
                <w:szCs w:val="20"/>
              </w:rPr>
              <w:t>5 mg once daily</w:t>
            </w:r>
          </w:p>
        </w:tc>
        <w:tc>
          <w:tcPr>
            <w:tcW w:w="2790" w:type="dxa"/>
            <w:tcBorders>
              <w:top w:val="single" w:sz="4" w:space="0" w:color="auto"/>
              <w:left w:val="single" w:sz="4" w:space="0" w:color="auto"/>
              <w:bottom w:val="single" w:sz="4" w:space="0" w:color="auto"/>
              <w:right w:val="single" w:sz="4" w:space="0" w:color="auto"/>
            </w:tcBorders>
            <w:vAlign w:val="center"/>
          </w:tcPr>
          <w:p w14:paraId="76A79B34"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Cs/>
                <w:color w:val="000000" w:themeColor="text1"/>
                <w:kern w:val="24"/>
                <w:sz w:val="20"/>
                <w:szCs w:val="20"/>
              </w:rPr>
            </w:pPr>
            <w:r w:rsidRPr="00C53AE0">
              <w:rPr>
                <w:rFonts w:ascii="Calibri" w:eastAsia="Calibri" w:hAnsi="Calibri" w:cs="Calibri"/>
                <w:bCs/>
                <w:color w:val="000000" w:themeColor="text1"/>
                <w:kern w:val="24"/>
                <w:sz w:val="20"/>
                <w:szCs w:val="20"/>
              </w:rPr>
              <w:t>0.5</w:t>
            </w:r>
          </w:p>
        </w:tc>
      </w:tr>
      <w:tr w:rsidR="007758F6" w:rsidRPr="00C53AE0" w14:paraId="71AA9042" w14:textId="77777777" w:rsidTr="007C2693">
        <w:trPr>
          <w:trHeight w:val="34"/>
          <w:jc w:val="center"/>
        </w:trPr>
        <w:tc>
          <w:tcPr>
            <w:tcW w:w="2155" w:type="dxa"/>
            <w:tcBorders>
              <w:top w:val="single" w:sz="4" w:space="0" w:color="auto"/>
              <w:left w:val="single" w:sz="4" w:space="0" w:color="auto"/>
              <w:bottom w:val="single" w:sz="4" w:space="0" w:color="auto"/>
              <w:right w:val="single" w:sz="4" w:space="0" w:color="auto"/>
            </w:tcBorders>
            <w:vAlign w:val="center"/>
          </w:tcPr>
          <w:p w14:paraId="13496229" w14:textId="77777777" w:rsidR="007758F6" w:rsidRPr="00C53AE0" w:rsidRDefault="007758F6" w:rsidP="007C2693">
            <w:pPr>
              <w:pStyle w:val="NormalWeb"/>
              <w:spacing w:before="0" w:beforeAutospacing="0" w:after="0" w:afterAutospacing="0" w:line="276" w:lineRule="auto"/>
              <w:ind w:left="72"/>
              <w:rPr>
                <w:rFonts w:ascii="Arial" w:hAnsi="Arial" w:cs="Arial"/>
                <w:sz w:val="20"/>
                <w:szCs w:val="20"/>
              </w:rPr>
            </w:pPr>
            <w:r w:rsidRPr="00C53AE0">
              <w:rPr>
                <w:rFonts w:ascii="Calibri" w:eastAsia="Calibri" w:hAnsi="Calibri" w:cs="Calibri"/>
                <w:color w:val="000000" w:themeColor="text1"/>
                <w:kern w:val="24"/>
                <w:sz w:val="20"/>
                <w:szCs w:val="20"/>
              </w:rPr>
              <w:t>6 to &lt; 10 kg</w:t>
            </w:r>
          </w:p>
        </w:tc>
        <w:tc>
          <w:tcPr>
            <w:tcW w:w="2520" w:type="dxa"/>
            <w:tcBorders>
              <w:top w:val="single" w:sz="4" w:space="0" w:color="auto"/>
              <w:left w:val="single" w:sz="4" w:space="0" w:color="auto"/>
              <w:bottom w:val="single" w:sz="4" w:space="0" w:color="auto"/>
              <w:right w:val="single" w:sz="4" w:space="0" w:color="auto"/>
            </w:tcBorders>
            <w:vAlign w:val="center"/>
          </w:tcPr>
          <w:p w14:paraId="01476E67" w14:textId="77777777" w:rsidR="007758F6" w:rsidRPr="00C53AE0" w:rsidRDefault="007758F6" w:rsidP="007C2693">
            <w:pPr>
              <w:pStyle w:val="NormalWeb"/>
              <w:spacing w:before="60" w:beforeAutospacing="0" w:after="60" w:afterAutospacing="0" w:line="228" w:lineRule="auto"/>
              <w:ind w:left="72"/>
              <w:jc w:val="center"/>
              <w:rPr>
                <w:rFonts w:ascii="Calibri" w:eastAsia="Calibri" w:hAnsi="Calibri" w:cs="Calibri"/>
                <w:color w:val="000000" w:themeColor="text1"/>
                <w:kern w:val="24"/>
                <w:sz w:val="20"/>
                <w:szCs w:val="20"/>
              </w:rPr>
            </w:pPr>
            <w:r w:rsidRPr="00C53AE0">
              <w:rPr>
                <w:rFonts w:ascii="Calibri" w:eastAsia="Calibri" w:hAnsi="Calibri" w:cs="Calibri"/>
                <w:color w:val="000000" w:themeColor="text1"/>
                <w:kern w:val="24"/>
                <w:sz w:val="20"/>
                <w:szCs w:val="20"/>
              </w:rPr>
              <w:t>15 mg once daily</w:t>
            </w:r>
          </w:p>
        </w:tc>
        <w:tc>
          <w:tcPr>
            <w:tcW w:w="2790" w:type="dxa"/>
            <w:tcBorders>
              <w:top w:val="single" w:sz="4" w:space="0" w:color="auto"/>
              <w:left w:val="single" w:sz="4" w:space="0" w:color="auto"/>
              <w:bottom w:val="single" w:sz="4" w:space="0" w:color="auto"/>
              <w:right w:val="single" w:sz="4" w:space="0" w:color="auto"/>
            </w:tcBorders>
            <w:vAlign w:val="center"/>
          </w:tcPr>
          <w:p w14:paraId="2C631F0A"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Cs/>
                <w:color w:val="000000" w:themeColor="text1"/>
                <w:kern w:val="24"/>
                <w:sz w:val="20"/>
                <w:szCs w:val="20"/>
              </w:rPr>
            </w:pPr>
            <w:r w:rsidRPr="00C53AE0">
              <w:rPr>
                <w:rFonts w:ascii="Calibri" w:eastAsia="Calibri" w:hAnsi="Calibri" w:cs="Calibri"/>
                <w:bCs/>
                <w:color w:val="000000" w:themeColor="text1"/>
                <w:kern w:val="24"/>
                <w:sz w:val="20"/>
                <w:szCs w:val="20"/>
              </w:rPr>
              <w:t>1.5</w:t>
            </w:r>
          </w:p>
        </w:tc>
      </w:tr>
      <w:tr w:rsidR="007758F6" w:rsidRPr="00C53AE0" w14:paraId="5C755172" w14:textId="77777777" w:rsidTr="007C2693">
        <w:trPr>
          <w:trHeight w:val="34"/>
          <w:jc w:val="center"/>
        </w:trPr>
        <w:tc>
          <w:tcPr>
            <w:tcW w:w="2155" w:type="dxa"/>
            <w:tcBorders>
              <w:top w:val="single" w:sz="4" w:space="0" w:color="auto"/>
              <w:left w:val="single" w:sz="4" w:space="0" w:color="auto"/>
              <w:bottom w:val="single" w:sz="4" w:space="0" w:color="auto"/>
              <w:right w:val="single" w:sz="4" w:space="0" w:color="auto"/>
            </w:tcBorders>
            <w:vAlign w:val="center"/>
          </w:tcPr>
          <w:p w14:paraId="376D2036" w14:textId="77777777" w:rsidR="007758F6" w:rsidRPr="00C53AE0" w:rsidRDefault="007758F6" w:rsidP="007C2693">
            <w:pPr>
              <w:pStyle w:val="NormalWeb"/>
              <w:spacing w:before="0" w:beforeAutospacing="0" w:after="0" w:afterAutospacing="0" w:line="276" w:lineRule="auto"/>
              <w:ind w:left="72"/>
              <w:rPr>
                <w:rFonts w:ascii="Arial" w:hAnsi="Arial" w:cs="Arial"/>
                <w:sz w:val="20"/>
                <w:szCs w:val="20"/>
              </w:rPr>
            </w:pPr>
            <w:r w:rsidRPr="00C53AE0">
              <w:rPr>
                <w:rFonts w:ascii="Calibri" w:eastAsia="Calibri" w:hAnsi="Calibri" w:cs="Calibri"/>
                <w:color w:val="000000" w:themeColor="text1"/>
                <w:kern w:val="24"/>
                <w:sz w:val="20"/>
                <w:szCs w:val="20"/>
              </w:rPr>
              <w:t>10 to &lt; 1</w:t>
            </w:r>
            <w:r>
              <w:rPr>
                <w:rFonts w:ascii="Calibri" w:eastAsia="Calibri" w:hAnsi="Calibri" w:cs="Calibri"/>
                <w:color w:val="000000" w:themeColor="text1"/>
                <w:kern w:val="24"/>
                <w:sz w:val="20"/>
                <w:szCs w:val="20"/>
              </w:rPr>
              <w:t>4</w:t>
            </w:r>
            <w:r w:rsidRPr="00C53AE0">
              <w:rPr>
                <w:rFonts w:ascii="Calibri" w:eastAsia="Calibri" w:hAnsi="Calibri" w:cs="Calibri"/>
                <w:color w:val="000000" w:themeColor="text1"/>
                <w:kern w:val="24"/>
                <w:sz w:val="20"/>
                <w:szCs w:val="20"/>
              </w:rPr>
              <w:t xml:space="preserve"> kg</w:t>
            </w:r>
          </w:p>
        </w:tc>
        <w:tc>
          <w:tcPr>
            <w:tcW w:w="2520" w:type="dxa"/>
            <w:tcBorders>
              <w:top w:val="single" w:sz="4" w:space="0" w:color="auto"/>
              <w:left w:val="single" w:sz="4" w:space="0" w:color="auto"/>
              <w:bottom w:val="single" w:sz="4" w:space="0" w:color="auto"/>
              <w:right w:val="single" w:sz="4" w:space="0" w:color="auto"/>
            </w:tcBorders>
            <w:vAlign w:val="center"/>
          </w:tcPr>
          <w:p w14:paraId="70798CF5" w14:textId="77777777" w:rsidR="007758F6" w:rsidRPr="00C53AE0" w:rsidRDefault="007758F6" w:rsidP="007C2693">
            <w:pPr>
              <w:pStyle w:val="NormalWeb"/>
              <w:spacing w:before="60" w:beforeAutospacing="0" w:after="60" w:afterAutospacing="0" w:line="228" w:lineRule="auto"/>
              <w:ind w:left="72"/>
              <w:jc w:val="center"/>
              <w:rPr>
                <w:rFonts w:ascii="Calibri" w:eastAsia="Calibri" w:hAnsi="Calibri" w:cs="Calibri"/>
                <w:color w:val="000000" w:themeColor="text1"/>
                <w:kern w:val="24"/>
                <w:sz w:val="20"/>
                <w:szCs w:val="20"/>
              </w:rPr>
            </w:pPr>
            <w:r w:rsidRPr="00C53AE0">
              <w:rPr>
                <w:rFonts w:ascii="Calibri" w:eastAsia="Calibri" w:hAnsi="Calibri" w:cs="Calibri"/>
                <w:color w:val="000000" w:themeColor="text1"/>
                <w:kern w:val="24"/>
                <w:sz w:val="20"/>
                <w:szCs w:val="20"/>
              </w:rPr>
              <w:t>20 mg once daily</w:t>
            </w:r>
          </w:p>
        </w:tc>
        <w:tc>
          <w:tcPr>
            <w:tcW w:w="2790" w:type="dxa"/>
            <w:tcBorders>
              <w:top w:val="single" w:sz="4" w:space="0" w:color="auto"/>
              <w:left w:val="single" w:sz="4" w:space="0" w:color="auto"/>
              <w:bottom w:val="single" w:sz="4" w:space="0" w:color="auto"/>
              <w:right w:val="single" w:sz="4" w:space="0" w:color="auto"/>
            </w:tcBorders>
            <w:vAlign w:val="center"/>
          </w:tcPr>
          <w:p w14:paraId="02218EF0"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Cs/>
                <w:color w:val="000000" w:themeColor="text1"/>
                <w:kern w:val="24"/>
                <w:sz w:val="20"/>
                <w:szCs w:val="20"/>
              </w:rPr>
            </w:pPr>
            <w:r w:rsidRPr="00C53AE0">
              <w:rPr>
                <w:rFonts w:ascii="Calibri" w:eastAsia="Calibri" w:hAnsi="Calibri" w:cs="Calibri"/>
                <w:bCs/>
                <w:color w:val="000000" w:themeColor="text1"/>
                <w:kern w:val="24"/>
                <w:sz w:val="20"/>
                <w:szCs w:val="20"/>
              </w:rPr>
              <w:t>2</w:t>
            </w:r>
          </w:p>
        </w:tc>
      </w:tr>
      <w:tr w:rsidR="007758F6" w:rsidRPr="00C53AE0" w14:paraId="2E7FEE94" w14:textId="77777777" w:rsidTr="007C2693">
        <w:trPr>
          <w:trHeight w:val="34"/>
          <w:jc w:val="center"/>
        </w:trPr>
        <w:tc>
          <w:tcPr>
            <w:tcW w:w="2155" w:type="dxa"/>
            <w:tcBorders>
              <w:top w:val="single" w:sz="4" w:space="0" w:color="auto"/>
              <w:left w:val="single" w:sz="4" w:space="0" w:color="auto"/>
              <w:bottom w:val="single" w:sz="4" w:space="0" w:color="auto"/>
              <w:right w:val="single" w:sz="4" w:space="0" w:color="auto"/>
            </w:tcBorders>
            <w:vAlign w:val="center"/>
          </w:tcPr>
          <w:p w14:paraId="1BC26E77" w14:textId="77777777" w:rsidR="007758F6" w:rsidRPr="00C53AE0" w:rsidRDefault="007758F6" w:rsidP="007C2693">
            <w:pPr>
              <w:pStyle w:val="NormalWeb"/>
              <w:spacing w:before="0" w:beforeAutospacing="0" w:after="0" w:afterAutospacing="0" w:line="228" w:lineRule="auto"/>
              <w:ind w:left="72"/>
              <w:rPr>
                <w:rFonts w:ascii="Arial" w:hAnsi="Arial" w:cs="Arial"/>
                <w:sz w:val="20"/>
                <w:szCs w:val="20"/>
              </w:rPr>
            </w:pPr>
            <w:r w:rsidRPr="00C53AE0">
              <w:rPr>
                <w:rFonts w:ascii="Calibri" w:eastAsia="Calibri" w:hAnsi="Calibri" w:cs="Calibri"/>
                <w:color w:val="000000" w:themeColor="text1"/>
                <w:kern w:val="24"/>
                <w:sz w:val="20"/>
                <w:szCs w:val="20"/>
              </w:rPr>
              <w:t>1</w:t>
            </w:r>
            <w:r>
              <w:rPr>
                <w:rFonts w:ascii="Calibri" w:eastAsia="Calibri" w:hAnsi="Calibri" w:cs="Calibri"/>
                <w:color w:val="000000" w:themeColor="text1"/>
                <w:kern w:val="24"/>
                <w:sz w:val="20"/>
                <w:szCs w:val="20"/>
              </w:rPr>
              <w:t>4</w:t>
            </w:r>
            <w:r w:rsidRPr="00C53AE0">
              <w:rPr>
                <w:rFonts w:ascii="Calibri" w:eastAsia="Calibri" w:hAnsi="Calibri" w:cs="Calibri"/>
                <w:color w:val="000000" w:themeColor="text1"/>
                <w:kern w:val="24"/>
                <w:sz w:val="20"/>
                <w:szCs w:val="20"/>
              </w:rPr>
              <w:t xml:space="preserve"> to &lt; 20 kg</w:t>
            </w:r>
          </w:p>
        </w:tc>
        <w:tc>
          <w:tcPr>
            <w:tcW w:w="2520" w:type="dxa"/>
            <w:tcBorders>
              <w:top w:val="single" w:sz="4" w:space="0" w:color="auto"/>
              <w:left w:val="single" w:sz="4" w:space="0" w:color="auto"/>
              <w:bottom w:val="single" w:sz="4" w:space="0" w:color="auto"/>
              <w:right w:val="single" w:sz="4" w:space="0" w:color="auto"/>
            </w:tcBorders>
            <w:vAlign w:val="center"/>
          </w:tcPr>
          <w:p w14:paraId="0D1492DE" w14:textId="77777777" w:rsidR="007758F6" w:rsidRPr="00C53AE0" w:rsidRDefault="007758F6" w:rsidP="007C2693">
            <w:pPr>
              <w:pStyle w:val="NormalWeb"/>
              <w:spacing w:before="60" w:beforeAutospacing="0" w:after="60" w:afterAutospacing="0" w:line="228" w:lineRule="auto"/>
              <w:ind w:left="72"/>
              <w:jc w:val="center"/>
              <w:rPr>
                <w:rFonts w:ascii="Calibri" w:eastAsia="Calibri" w:hAnsi="Calibri" w:cs="Calibri"/>
                <w:color w:val="000000" w:themeColor="text1"/>
                <w:kern w:val="24"/>
                <w:sz w:val="20"/>
                <w:szCs w:val="20"/>
              </w:rPr>
            </w:pPr>
            <w:r w:rsidRPr="00C53AE0">
              <w:rPr>
                <w:rFonts w:ascii="Calibri" w:eastAsia="Calibri" w:hAnsi="Calibri" w:cs="Calibri"/>
                <w:color w:val="000000" w:themeColor="text1"/>
                <w:kern w:val="24"/>
                <w:sz w:val="20"/>
                <w:szCs w:val="20"/>
              </w:rPr>
              <w:t>25 mg once daily</w:t>
            </w:r>
          </w:p>
        </w:tc>
        <w:tc>
          <w:tcPr>
            <w:tcW w:w="2790" w:type="dxa"/>
            <w:tcBorders>
              <w:top w:val="single" w:sz="4" w:space="0" w:color="auto"/>
              <w:left w:val="single" w:sz="4" w:space="0" w:color="auto"/>
              <w:bottom w:val="single" w:sz="4" w:space="0" w:color="auto"/>
              <w:right w:val="single" w:sz="4" w:space="0" w:color="auto"/>
            </w:tcBorders>
            <w:vAlign w:val="center"/>
          </w:tcPr>
          <w:p w14:paraId="6952F4A3"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Cs/>
                <w:color w:val="000000" w:themeColor="text1"/>
                <w:kern w:val="24"/>
                <w:sz w:val="20"/>
                <w:szCs w:val="20"/>
              </w:rPr>
            </w:pPr>
            <w:r w:rsidRPr="00C53AE0">
              <w:rPr>
                <w:rFonts w:ascii="Calibri" w:eastAsia="Calibri" w:hAnsi="Calibri" w:cs="Calibri"/>
                <w:bCs/>
                <w:color w:val="000000" w:themeColor="text1"/>
                <w:kern w:val="24"/>
                <w:sz w:val="20"/>
                <w:szCs w:val="20"/>
              </w:rPr>
              <w:t>2.5</w:t>
            </w:r>
          </w:p>
        </w:tc>
      </w:tr>
    </w:tbl>
    <w:p w14:paraId="7CF063AD" w14:textId="77777777" w:rsidR="007758F6" w:rsidRPr="00C53AE0" w:rsidRDefault="007758F6" w:rsidP="007758F6">
      <w:pPr>
        <w:rPr>
          <w:lang w:val="en-GB"/>
        </w:rPr>
      </w:pPr>
    </w:p>
    <w:p w14:paraId="2D2CE1BB" w14:textId="77777777" w:rsidR="007758F6" w:rsidRPr="00C53AE0" w:rsidRDefault="007758F6" w:rsidP="007758F6">
      <w:pPr>
        <w:spacing w:after="0"/>
        <w:jc w:val="center"/>
        <w:rPr>
          <w:lang w:val="en-GB"/>
        </w:rPr>
      </w:pPr>
      <w:r w:rsidRPr="00C53AE0">
        <w:rPr>
          <w:b/>
          <w:lang w:val="en-GB"/>
        </w:rPr>
        <w:t>Table 4</w:t>
      </w:r>
      <w:r w:rsidRPr="00C53AE0">
        <w:rPr>
          <w:lang w:val="en-GB"/>
        </w:rPr>
        <w:t>: WHO recommended dosing for ABC/3TC 120/60 dispersible</w:t>
      </w:r>
      <w:r>
        <w:rPr>
          <w:lang w:val="en-GB"/>
        </w:rPr>
        <w:t>, scored</w:t>
      </w:r>
      <w:r w:rsidRPr="00C53AE0">
        <w:rPr>
          <w:lang w:val="en-GB"/>
        </w:rPr>
        <w:t xml:space="preserve"> tablet</w:t>
      </w:r>
    </w:p>
    <w:tbl>
      <w:tblPr>
        <w:tblW w:w="7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595"/>
        <w:gridCol w:w="3965"/>
      </w:tblGrid>
      <w:tr w:rsidR="007758F6" w:rsidRPr="00C53AE0" w14:paraId="76B12191" w14:textId="77777777" w:rsidTr="007C2693">
        <w:trPr>
          <w:trHeight w:val="190"/>
          <w:jc w:val="center"/>
        </w:trPr>
        <w:tc>
          <w:tcPr>
            <w:tcW w:w="3595" w:type="dxa"/>
            <w:shd w:val="clear" w:color="auto" w:fill="244061" w:themeFill="accent1" w:themeFillShade="80"/>
            <w:vAlign w:val="center"/>
          </w:tcPr>
          <w:p w14:paraId="2DDC7C68" w14:textId="77777777" w:rsidR="007758F6" w:rsidRPr="00C53AE0" w:rsidRDefault="007758F6" w:rsidP="007C2693">
            <w:pPr>
              <w:pStyle w:val="NormalWeb"/>
              <w:spacing w:before="0" w:beforeAutospacing="0" w:after="0" w:afterAutospacing="0" w:line="276" w:lineRule="auto"/>
              <w:jc w:val="center"/>
              <w:rPr>
                <w:rFonts w:ascii="Arial" w:hAnsi="Arial" w:cs="Arial"/>
                <w:b/>
                <w:color w:val="FFFFFF" w:themeColor="background1"/>
                <w:sz w:val="20"/>
                <w:szCs w:val="20"/>
              </w:rPr>
            </w:pPr>
            <w:r w:rsidRPr="00C53AE0">
              <w:rPr>
                <w:rFonts w:ascii="Calibri" w:eastAsia="Calibri" w:hAnsi="Calibri" w:cs="Calibri"/>
                <w:b/>
                <w:color w:val="FFFFFF" w:themeColor="background1"/>
                <w:kern w:val="24"/>
                <w:sz w:val="20"/>
                <w:szCs w:val="20"/>
              </w:rPr>
              <w:t>Weight</w:t>
            </w:r>
          </w:p>
        </w:tc>
        <w:tc>
          <w:tcPr>
            <w:tcW w:w="3965" w:type="dxa"/>
            <w:shd w:val="clear" w:color="auto" w:fill="244061" w:themeFill="accent1" w:themeFillShade="80"/>
            <w:vAlign w:val="center"/>
          </w:tcPr>
          <w:p w14:paraId="7E9D6178"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
                <w:color w:val="FFFFFF" w:themeColor="background1"/>
                <w:kern w:val="24"/>
                <w:sz w:val="20"/>
                <w:szCs w:val="20"/>
              </w:rPr>
            </w:pPr>
            <w:r w:rsidRPr="00C53AE0">
              <w:rPr>
                <w:rFonts w:ascii="Calibri" w:eastAsia="Calibri" w:hAnsi="Calibri" w:cs="Calibri"/>
                <w:b/>
                <w:color w:val="FFFFFF" w:themeColor="background1"/>
                <w:kern w:val="24"/>
                <w:sz w:val="20"/>
                <w:szCs w:val="20"/>
              </w:rPr>
              <w:t>Number of Daily Tablets</w:t>
            </w:r>
          </w:p>
        </w:tc>
      </w:tr>
      <w:tr w:rsidR="007758F6" w:rsidRPr="00C53AE0" w14:paraId="6C06E27C" w14:textId="77777777" w:rsidTr="007C2693">
        <w:trPr>
          <w:trHeight w:val="359"/>
          <w:jc w:val="center"/>
        </w:trPr>
        <w:tc>
          <w:tcPr>
            <w:tcW w:w="3595" w:type="dxa"/>
            <w:vAlign w:val="center"/>
          </w:tcPr>
          <w:p w14:paraId="0461A3F3" w14:textId="77777777" w:rsidR="007758F6" w:rsidRPr="00C53AE0" w:rsidRDefault="007758F6" w:rsidP="007C2693">
            <w:pPr>
              <w:pStyle w:val="NormalWeb"/>
              <w:spacing w:before="0" w:beforeAutospacing="0" w:after="0" w:afterAutospacing="0" w:line="276" w:lineRule="auto"/>
              <w:ind w:left="72"/>
              <w:rPr>
                <w:rFonts w:ascii="Arial" w:hAnsi="Arial" w:cs="Arial"/>
                <w:sz w:val="20"/>
                <w:szCs w:val="20"/>
              </w:rPr>
            </w:pPr>
            <w:r w:rsidRPr="00C53AE0">
              <w:rPr>
                <w:rFonts w:ascii="Calibri" w:eastAsia="Calibri" w:hAnsi="Calibri" w:cs="Calibri"/>
                <w:color w:val="000000" w:themeColor="text1"/>
                <w:kern w:val="24"/>
                <w:sz w:val="20"/>
                <w:szCs w:val="20"/>
              </w:rPr>
              <w:t>3 to &lt; 6 kg</w:t>
            </w:r>
          </w:p>
        </w:tc>
        <w:tc>
          <w:tcPr>
            <w:tcW w:w="3965" w:type="dxa"/>
            <w:vAlign w:val="center"/>
          </w:tcPr>
          <w:p w14:paraId="30DB66E3"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Cs/>
                <w:color w:val="000000" w:themeColor="text1"/>
                <w:kern w:val="24"/>
                <w:sz w:val="20"/>
                <w:szCs w:val="20"/>
              </w:rPr>
            </w:pPr>
            <w:r w:rsidRPr="00C53AE0">
              <w:rPr>
                <w:rFonts w:ascii="Calibri" w:eastAsia="Calibri" w:hAnsi="Calibri" w:cs="Calibri"/>
                <w:bCs/>
                <w:color w:val="000000" w:themeColor="text1"/>
                <w:kern w:val="24"/>
                <w:sz w:val="20"/>
                <w:szCs w:val="20"/>
              </w:rPr>
              <w:t>1</w:t>
            </w:r>
          </w:p>
        </w:tc>
      </w:tr>
      <w:tr w:rsidR="007758F6" w:rsidRPr="00C53AE0" w14:paraId="172C9E6F" w14:textId="77777777" w:rsidTr="007C2693">
        <w:trPr>
          <w:trHeight w:val="34"/>
          <w:jc w:val="center"/>
        </w:trPr>
        <w:tc>
          <w:tcPr>
            <w:tcW w:w="3595" w:type="dxa"/>
            <w:vAlign w:val="center"/>
          </w:tcPr>
          <w:p w14:paraId="5F2BAEF3" w14:textId="77777777" w:rsidR="007758F6" w:rsidRPr="00C53AE0" w:rsidRDefault="007758F6" w:rsidP="007C2693">
            <w:pPr>
              <w:pStyle w:val="NormalWeb"/>
              <w:spacing w:before="0" w:beforeAutospacing="0" w:after="0" w:afterAutospacing="0" w:line="276" w:lineRule="auto"/>
              <w:ind w:left="72"/>
              <w:rPr>
                <w:rFonts w:ascii="Arial" w:hAnsi="Arial" w:cs="Arial"/>
                <w:sz w:val="20"/>
                <w:szCs w:val="20"/>
              </w:rPr>
            </w:pPr>
            <w:r w:rsidRPr="00C53AE0">
              <w:rPr>
                <w:rFonts w:ascii="Calibri" w:eastAsia="Calibri" w:hAnsi="Calibri" w:cs="Calibri"/>
                <w:color w:val="000000" w:themeColor="text1"/>
                <w:kern w:val="24"/>
                <w:sz w:val="20"/>
                <w:szCs w:val="20"/>
              </w:rPr>
              <w:t>6 to &lt; 10 kg</w:t>
            </w:r>
          </w:p>
        </w:tc>
        <w:tc>
          <w:tcPr>
            <w:tcW w:w="3965" w:type="dxa"/>
            <w:vAlign w:val="center"/>
          </w:tcPr>
          <w:p w14:paraId="29E37C84"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Cs/>
                <w:color w:val="000000" w:themeColor="text1"/>
                <w:kern w:val="24"/>
                <w:sz w:val="20"/>
                <w:szCs w:val="20"/>
              </w:rPr>
            </w:pPr>
            <w:r w:rsidRPr="00C53AE0">
              <w:rPr>
                <w:rFonts w:ascii="Calibri" w:eastAsia="Calibri" w:hAnsi="Calibri" w:cs="Calibri"/>
                <w:bCs/>
                <w:color w:val="000000" w:themeColor="text1"/>
                <w:kern w:val="24"/>
                <w:sz w:val="20"/>
                <w:szCs w:val="20"/>
              </w:rPr>
              <w:t>1.5</w:t>
            </w:r>
          </w:p>
        </w:tc>
      </w:tr>
      <w:tr w:rsidR="007758F6" w:rsidRPr="00C53AE0" w14:paraId="5007FEFF" w14:textId="77777777" w:rsidTr="007C2693">
        <w:trPr>
          <w:trHeight w:val="34"/>
          <w:jc w:val="center"/>
        </w:trPr>
        <w:tc>
          <w:tcPr>
            <w:tcW w:w="3595" w:type="dxa"/>
            <w:vAlign w:val="center"/>
          </w:tcPr>
          <w:p w14:paraId="25C6D0EF" w14:textId="77777777" w:rsidR="007758F6" w:rsidRPr="00C53AE0" w:rsidRDefault="007758F6" w:rsidP="007C2693">
            <w:pPr>
              <w:pStyle w:val="NormalWeb"/>
              <w:spacing w:before="0" w:beforeAutospacing="0" w:after="0" w:afterAutospacing="0" w:line="276" w:lineRule="auto"/>
              <w:ind w:left="72"/>
              <w:rPr>
                <w:rFonts w:ascii="Arial" w:hAnsi="Arial" w:cs="Arial"/>
                <w:sz w:val="20"/>
                <w:szCs w:val="20"/>
              </w:rPr>
            </w:pPr>
            <w:r w:rsidRPr="00C53AE0">
              <w:rPr>
                <w:rFonts w:ascii="Calibri" w:eastAsia="Calibri" w:hAnsi="Calibri" w:cs="Calibri"/>
                <w:color w:val="000000" w:themeColor="text1"/>
                <w:kern w:val="24"/>
                <w:sz w:val="20"/>
                <w:szCs w:val="20"/>
              </w:rPr>
              <w:t>10 to &lt; 1</w:t>
            </w:r>
            <w:r>
              <w:rPr>
                <w:rFonts w:ascii="Calibri" w:eastAsia="Calibri" w:hAnsi="Calibri" w:cs="Calibri"/>
                <w:color w:val="000000" w:themeColor="text1"/>
                <w:kern w:val="24"/>
                <w:sz w:val="20"/>
                <w:szCs w:val="20"/>
              </w:rPr>
              <w:t>4</w:t>
            </w:r>
            <w:r w:rsidRPr="00C53AE0">
              <w:rPr>
                <w:rFonts w:ascii="Calibri" w:eastAsia="Calibri" w:hAnsi="Calibri" w:cs="Calibri"/>
                <w:color w:val="000000" w:themeColor="text1"/>
                <w:kern w:val="24"/>
                <w:sz w:val="20"/>
                <w:szCs w:val="20"/>
              </w:rPr>
              <w:t xml:space="preserve"> kg</w:t>
            </w:r>
          </w:p>
        </w:tc>
        <w:tc>
          <w:tcPr>
            <w:tcW w:w="3965" w:type="dxa"/>
            <w:vAlign w:val="center"/>
          </w:tcPr>
          <w:p w14:paraId="574A14AC"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Cs/>
                <w:color w:val="000000" w:themeColor="text1"/>
                <w:kern w:val="24"/>
                <w:sz w:val="20"/>
                <w:szCs w:val="20"/>
              </w:rPr>
            </w:pPr>
            <w:r w:rsidRPr="00C53AE0">
              <w:rPr>
                <w:rFonts w:ascii="Calibri" w:eastAsia="Calibri" w:hAnsi="Calibri" w:cs="Calibri"/>
                <w:bCs/>
                <w:color w:val="000000" w:themeColor="text1"/>
                <w:kern w:val="24"/>
                <w:sz w:val="20"/>
                <w:szCs w:val="20"/>
              </w:rPr>
              <w:t>2</w:t>
            </w:r>
          </w:p>
        </w:tc>
      </w:tr>
      <w:tr w:rsidR="007758F6" w:rsidRPr="00C53AE0" w14:paraId="3B3E1168" w14:textId="77777777" w:rsidTr="007C2693">
        <w:trPr>
          <w:trHeight w:val="34"/>
          <w:jc w:val="center"/>
        </w:trPr>
        <w:tc>
          <w:tcPr>
            <w:tcW w:w="3595" w:type="dxa"/>
            <w:vAlign w:val="center"/>
          </w:tcPr>
          <w:p w14:paraId="5DCE67C8" w14:textId="77777777" w:rsidR="007758F6" w:rsidRPr="00C53AE0" w:rsidRDefault="007758F6" w:rsidP="007C2693">
            <w:pPr>
              <w:pStyle w:val="NormalWeb"/>
              <w:spacing w:before="0" w:beforeAutospacing="0" w:after="0" w:afterAutospacing="0" w:line="228" w:lineRule="auto"/>
              <w:ind w:left="72"/>
              <w:rPr>
                <w:rFonts w:ascii="Arial" w:hAnsi="Arial" w:cs="Arial"/>
                <w:sz w:val="20"/>
                <w:szCs w:val="20"/>
              </w:rPr>
            </w:pPr>
            <w:r w:rsidRPr="00C53AE0">
              <w:rPr>
                <w:rFonts w:ascii="Calibri" w:eastAsia="Calibri" w:hAnsi="Calibri" w:cs="Calibri"/>
                <w:color w:val="000000" w:themeColor="text1"/>
                <w:kern w:val="24"/>
                <w:sz w:val="20"/>
                <w:szCs w:val="20"/>
              </w:rPr>
              <w:t>1</w:t>
            </w:r>
            <w:r>
              <w:rPr>
                <w:rFonts w:ascii="Calibri" w:eastAsia="Calibri" w:hAnsi="Calibri" w:cs="Calibri"/>
                <w:color w:val="000000" w:themeColor="text1"/>
                <w:kern w:val="24"/>
                <w:sz w:val="20"/>
                <w:szCs w:val="20"/>
              </w:rPr>
              <w:t>4</w:t>
            </w:r>
            <w:r w:rsidRPr="00C53AE0">
              <w:rPr>
                <w:rFonts w:ascii="Calibri" w:eastAsia="Calibri" w:hAnsi="Calibri" w:cs="Calibri"/>
                <w:color w:val="000000" w:themeColor="text1"/>
                <w:kern w:val="24"/>
                <w:sz w:val="20"/>
                <w:szCs w:val="20"/>
              </w:rPr>
              <w:t xml:space="preserve"> to &lt; 20 kg</w:t>
            </w:r>
          </w:p>
        </w:tc>
        <w:tc>
          <w:tcPr>
            <w:tcW w:w="3965" w:type="dxa"/>
            <w:vAlign w:val="center"/>
          </w:tcPr>
          <w:p w14:paraId="52705A1E" w14:textId="77777777" w:rsidR="007758F6" w:rsidRPr="00C53AE0" w:rsidRDefault="007758F6" w:rsidP="007C2693">
            <w:pPr>
              <w:pStyle w:val="NormalWeb"/>
              <w:spacing w:before="60" w:beforeAutospacing="0" w:after="60" w:afterAutospacing="0" w:line="228" w:lineRule="auto"/>
              <w:jc w:val="center"/>
              <w:rPr>
                <w:rFonts w:ascii="Calibri" w:eastAsia="Calibri" w:hAnsi="Calibri" w:cs="Calibri"/>
                <w:bCs/>
                <w:color w:val="000000" w:themeColor="text1"/>
                <w:kern w:val="24"/>
                <w:sz w:val="20"/>
                <w:szCs w:val="20"/>
              </w:rPr>
            </w:pPr>
            <w:r w:rsidRPr="00C53AE0">
              <w:rPr>
                <w:rFonts w:ascii="Calibri" w:eastAsia="Calibri" w:hAnsi="Calibri" w:cs="Calibri"/>
                <w:bCs/>
                <w:color w:val="000000" w:themeColor="text1"/>
                <w:kern w:val="24"/>
                <w:sz w:val="20"/>
                <w:szCs w:val="20"/>
              </w:rPr>
              <w:t>2.5</w:t>
            </w:r>
          </w:p>
        </w:tc>
      </w:tr>
    </w:tbl>
    <w:p w14:paraId="402D7F14" w14:textId="77777777" w:rsidR="007D0E8F" w:rsidRDefault="007D0E8F" w:rsidP="00370DC1">
      <w:pPr>
        <w:tabs>
          <w:tab w:val="left" w:pos="90"/>
        </w:tabs>
        <w:spacing w:after="0"/>
        <w:contextualSpacing/>
        <w:jc w:val="both"/>
        <w:rPr>
          <w:rFonts w:cstheme="minorHAnsi"/>
          <w:i/>
          <w:iCs/>
        </w:rPr>
      </w:pPr>
    </w:p>
    <w:p w14:paraId="4BABC854" w14:textId="5BC2185D" w:rsidR="005405AB" w:rsidRPr="008E048A" w:rsidRDefault="005405AB" w:rsidP="00370DC1">
      <w:pPr>
        <w:tabs>
          <w:tab w:val="left" w:pos="90"/>
        </w:tabs>
        <w:spacing w:after="0"/>
        <w:contextualSpacing/>
        <w:jc w:val="both"/>
        <w:rPr>
          <w:rFonts w:cstheme="minorHAnsi"/>
          <w:i/>
          <w:iCs/>
          <w:highlight w:val="yellow"/>
        </w:rPr>
      </w:pPr>
      <w:r w:rsidRPr="008E048A">
        <w:rPr>
          <w:rFonts w:cstheme="minorHAnsi"/>
          <w:i/>
          <w:iCs/>
          <w:highlight w:val="yellow"/>
        </w:rPr>
        <w:t xml:space="preserve">[Provide a background on the pediatric landscape in country. Cover the following elements: </w:t>
      </w:r>
    </w:p>
    <w:p w14:paraId="2D01DDEF" w14:textId="4C85F869" w:rsidR="005405AB" w:rsidRPr="008E048A" w:rsidRDefault="005405AB" w:rsidP="00370DC1">
      <w:pPr>
        <w:pStyle w:val="ListParagraph"/>
        <w:numPr>
          <w:ilvl w:val="0"/>
          <w:numId w:val="20"/>
        </w:numPr>
        <w:tabs>
          <w:tab w:val="left" w:pos="90"/>
        </w:tabs>
        <w:spacing w:after="0" w:line="276" w:lineRule="auto"/>
        <w:rPr>
          <w:rFonts w:asciiTheme="minorHAnsi" w:hAnsiTheme="minorHAnsi" w:cstheme="minorHAnsi"/>
          <w:i/>
          <w:iCs/>
          <w:highlight w:val="yellow"/>
        </w:rPr>
      </w:pPr>
      <w:r w:rsidRPr="008E048A">
        <w:rPr>
          <w:rFonts w:asciiTheme="minorHAnsi" w:hAnsiTheme="minorHAnsi" w:cstheme="minorHAnsi"/>
          <w:i/>
          <w:iCs/>
          <w:highlight w:val="yellow"/>
        </w:rPr>
        <w:t xml:space="preserve">Number of CLHIV and number of CLHIV on ART </w:t>
      </w:r>
    </w:p>
    <w:p w14:paraId="618FBBC1" w14:textId="385D8E85" w:rsidR="005405AB" w:rsidRPr="008E048A" w:rsidRDefault="005405AB" w:rsidP="00370DC1">
      <w:pPr>
        <w:pStyle w:val="ListParagraph"/>
        <w:numPr>
          <w:ilvl w:val="0"/>
          <w:numId w:val="20"/>
        </w:numPr>
        <w:tabs>
          <w:tab w:val="left" w:pos="90"/>
        </w:tabs>
        <w:spacing w:after="0" w:line="276" w:lineRule="auto"/>
        <w:rPr>
          <w:rFonts w:asciiTheme="minorHAnsi" w:hAnsiTheme="minorHAnsi" w:cstheme="minorHAnsi"/>
          <w:i/>
          <w:iCs/>
          <w:highlight w:val="yellow"/>
        </w:rPr>
      </w:pPr>
      <w:r w:rsidRPr="008E048A">
        <w:rPr>
          <w:rFonts w:asciiTheme="minorHAnsi" w:hAnsiTheme="minorHAnsi" w:cstheme="minorHAnsi"/>
          <w:i/>
          <w:iCs/>
          <w:highlight w:val="yellow"/>
        </w:rPr>
        <w:t>Current ART regimens (as per country guidelines)</w:t>
      </w:r>
    </w:p>
    <w:p w14:paraId="4A97A42B" w14:textId="2EE8D1A4" w:rsidR="005405AB" w:rsidRPr="008E048A" w:rsidRDefault="005405AB" w:rsidP="00370DC1">
      <w:pPr>
        <w:pStyle w:val="ListParagraph"/>
        <w:numPr>
          <w:ilvl w:val="0"/>
          <w:numId w:val="20"/>
        </w:numPr>
        <w:tabs>
          <w:tab w:val="left" w:pos="90"/>
        </w:tabs>
        <w:spacing w:after="0" w:line="276" w:lineRule="auto"/>
        <w:rPr>
          <w:rFonts w:asciiTheme="minorHAnsi" w:hAnsiTheme="minorHAnsi" w:cstheme="minorHAnsi"/>
          <w:i/>
          <w:iCs/>
          <w:highlight w:val="yellow"/>
        </w:rPr>
      </w:pPr>
      <w:r w:rsidRPr="008E048A">
        <w:rPr>
          <w:rFonts w:asciiTheme="minorHAnsi" w:hAnsiTheme="minorHAnsi" w:cstheme="minorHAnsi"/>
          <w:i/>
          <w:iCs/>
          <w:highlight w:val="yellow"/>
        </w:rPr>
        <w:t xml:space="preserve">Viral suppression rates </w:t>
      </w:r>
    </w:p>
    <w:p w14:paraId="34BF4C8E" w14:textId="5354951A" w:rsidR="005405AB" w:rsidRPr="008E048A" w:rsidRDefault="005405AB" w:rsidP="00370DC1">
      <w:pPr>
        <w:pStyle w:val="ListParagraph"/>
        <w:numPr>
          <w:ilvl w:val="0"/>
          <w:numId w:val="20"/>
        </w:numPr>
        <w:tabs>
          <w:tab w:val="left" w:pos="90"/>
        </w:tabs>
        <w:spacing w:after="0" w:line="276" w:lineRule="auto"/>
        <w:rPr>
          <w:rFonts w:asciiTheme="minorHAnsi" w:hAnsiTheme="minorHAnsi" w:cstheme="minorHAnsi"/>
          <w:i/>
          <w:iCs/>
          <w:highlight w:val="yellow"/>
        </w:rPr>
      </w:pPr>
      <w:r w:rsidRPr="008E048A">
        <w:rPr>
          <w:rFonts w:asciiTheme="minorHAnsi" w:hAnsiTheme="minorHAnsi" w:cstheme="minorHAnsi"/>
          <w:i/>
          <w:iCs/>
          <w:highlight w:val="yellow"/>
        </w:rPr>
        <w:t xml:space="preserve">Why is there a need to switch to optimal regimens? </w:t>
      </w:r>
    </w:p>
    <w:p w14:paraId="1ECC6A59" w14:textId="4B6AC4A3" w:rsidR="005405AB" w:rsidRPr="008E048A" w:rsidRDefault="005405AB" w:rsidP="00370DC1">
      <w:pPr>
        <w:pStyle w:val="ListParagraph"/>
        <w:numPr>
          <w:ilvl w:val="0"/>
          <w:numId w:val="20"/>
        </w:numPr>
        <w:tabs>
          <w:tab w:val="left" w:pos="90"/>
        </w:tabs>
        <w:spacing w:after="0" w:line="276" w:lineRule="auto"/>
        <w:rPr>
          <w:rFonts w:asciiTheme="minorHAnsi" w:hAnsiTheme="minorHAnsi" w:cstheme="minorHAnsi"/>
          <w:i/>
          <w:iCs/>
          <w:highlight w:val="yellow"/>
        </w:rPr>
      </w:pPr>
      <w:r w:rsidRPr="008E048A">
        <w:rPr>
          <w:rFonts w:asciiTheme="minorHAnsi" w:hAnsiTheme="minorHAnsi" w:cstheme="minorHAnsi"/>
          <w:i/>
          <w:iCs/>
          <w:highlight w:val="yellow"/>
        </w:rPr>
        <w:t>MOH decision to switch to pDTG</w:t>
      </w:r>
      <w:r w:rsidR="003A046D" w:rsidRPr="008E048A">
        <w:rPr>
          <w:rFonts w:asciiTheme="minorHAnsi" w:hAnsiTheme="minorHAnsi" w:cstheme="minorHAnsi"/>
          <w:i/>
          <w:iCs/>
          <w:highlight w:val="yellow"/>
        </w:rPr>
        <w:t>, eligible populations, etc.</w:t>
      </w:r>
      <w:r w:rsidR="007A196E" w:rsidRPr="008E048A">
        <w:rPr>
          <w:rFonts w:asciiTheme="minorHAnsi" w:hAnsiTheme="minorHAnsi" w:cstheme="minorHAnsi"/>
          <w:i/>
          <w:iCs/>
          <w:highlight w:val="yellow"/>
        </w:rPr>
        <w:t>]</w:t>
      </w:r>
    </w:p>
    <w:p w14:paraId="1EB6397B" w14:textId="77777777" w:rsidR="001E77C2" w:rsidRPr="00962853" w:rsidRDefault="001E77C2" w:rsidP="00370DC1">
      <w:pPr>
        <w:pStyle w:val="Heading1"/>
        <w:jc w:val="both"/>
        <w:rPr>
          <w:rFonts w:asciiTheme="minorHAnsi" w:hAnsiTheme="minorHAnsi" w:cstheme="minorHAnsi"/>
          <w:sz w:val="28"/>
          <w:szCs w:val="28"/>
        </w:rPr>
      </w:pPr>
      <w:r w:rsidRPr="00962853">
        <w:rPr>
          <w:rFonts w:asciiTheme="minorHAnsi" w:hAnsiTheme="minorHAnsi" w:cstheme="minorHAnsi"/>
          <w:sz w:val="28"/>
          <w:szCs w:val="28"/>
        </w:rPr>
        <w:t>Scope and Purpose</w:t>
      </w:r>
    </w:p>
    <w:p w14:paraId="44E5DFE8" w14:textId="327631D2" w:rsidR="001E77C2" w:rsidRPr="00962853" w:rsidRDefault="001E77C2" w:rsidP="00370DC1">
      <w:pPr>
        <w:pStyle w:val="EndnoteText"/>
        <w:spacing w:line="276" w:lineRule="auto"/>
        <w:contextualSpacing/>
        <w:jc w:val="both"/>
        <w:rPr>
          <w:rFonts w:cstheme="minorHAnsi"/>
          <w:sz w:val="22"/>
          <w:szCs w:val="22"/>
        </w:rPr>
      </w:pPr>
      <w:r w:rsidRPr="00962853">
        <w:rPr>
          <w:rFonts w:cstheme="minorHAnsi"/>
          <w:sz w:val="22"/>
          <w:szCs w:val="22"/>
        </w:rPr>
        <w:t xml:space="preserve">The purpose of this document is to support </w:t>
      </w:r>
      <w:r w:rsidRPr="00C63F66">
        <w:rPr>
          <w:rFonts w:cstheme="minorHAnsi"/>
          <w:sz w:val="22"/>
          <w:szCs w:val="22"/>
        </w:rPr>
        <w:t xml:space="preserve">the </w:t>
      </w:r>
      <w:r w:rsidR="00852353" w:rsidRPr="00C63F66">
        <w:rPr>
          <w:rFonts w:cstheme="minorHAnsi"/>
          <w:sz w:val="22"/>
          <w:szCs w:val="22"/>
          <w:highlight w:val="yellow"/>
        </w:rPr>
        <w:t xml:space="preserve">[relevant HIV/ AIDS </w:t>
      </w:r>
      <w:proofErr w:type="spellStart"/>
      <w:r w:rsidR="00852353" w:rsidRPr="00C63F66">
        <w:rPr>
          <w:rFonts w:cstheme="minorHAnsi"/>
          <w:sz w:val="22"/>
          <w:szCs w:val="22"/>
          <w:highlight w:val="yellow"/>
        </w:rPr>
        <w:t>program</w:t>
      </w:r>
      <w:r w:rsidR="00C63F66">
        <w:rPr>
          <w:rFonts w:cstheme="minorHAnsi"/>
          <w:sz w:val="22"/>
          <w:szCs w:val="22"/>
          <w:highlight w:val="yellow"/>
        </w:rPr>
        <w:t>me</w:t>
      </w:r>
      <w:proofErr w:type="spellEnd"/>
      <w:r w:rsidR="00852353" w:rsidRPr="00C63F66">
        <w:rPr>
          <w:rFonts w:cstheme="minorHAnsi"/>
          <w:sz w:val="22"/>
          <w:szCs w:val="22"/>
          <w:highlight w:val="yellow"/>
        </w:rPr>
        <w:t xml:space="preserve"> in country]</w:t>
      </w:r>
      <w:r w:rsidR="00852353" w:rsidRPr="00962853">
        <w:rPr>
          <w:rFonts w:cstheme="minorHAnsi"/>
          <w:sz w:val="22"/>
          <w:szCs w:val="22"/>
        </w:rPr>
        <w:t xml:space="preserve"> </w:t>
      </w:r>
      <w:r w:rsidRPr="00962853">
        <w:rPr>
          <w:rFonts w:cstheme="minorHAnsi"/>
          <w:sz w:val="22"/>
          <w:szCs w:val="22"/>
        </w:rPr>
        <w:t xml:space="preserve">manager and officers, treatment centers and facilities, the Ministry of Health Pharmacy </w:t>
      </w:r>
      <w:r w:rsidR="007954D8" w:rsidRPr="00962853">
        <w:rPr>
          <w:rFonts w:cstheme="minorHAnsi"/>
          <w:sz w:val="22"/>
          <w:szCs w:val="22"/>
        </w:rPr>
        <w:t>Department</w:t>
      </w:r>
      <w:r w:rsidRPr="00962853">
        <w:rPr>
          <w:rFonts w:cstheme="minorHAnsi"/>
          <w:sz w:val="22"/>
          <w:szCs w:val="22"/>
        </w:rPr>
        <w:t xml:space="preserve"> as well as technical assistance providers to plan and implement a transition to the new preferred </w:t>
      </w:r>
      <w:r w:rsidR="00275EBA" w:rsidRPr="00962853">
        <w:rPr>
          <w:rFonts w:cstheme="minorHAnsi"/>
          <w:sz w:val="22"/>
          <w:szCs w:val="22"/>
        </w:rPr>
        <w:t xml:space="preserve">pediatric </w:t>
      </w:r>
      <w:r w:rsidRPr="00962853">
        <w:rPr>
          <w:rFonts w:cstheme="minorHAnsi"/>
          <w:sz w:val="22"/>
          <w:szCs w:val="22"/>
        </w:rPr>
        <w:t>regimen.</w:t>
      </w:r>
    </w:p>
    <w:p w14:paraId="41CB9715" w14:textId="77777777" w:rsidR="001E77C2" w:rsidRPr="00962853" w:rsidRDefault="001E77C2" w:rsidP="00370DC1">
      <w:pPr>
        <w:pStyle w:val="EndnoteText"/>
        <w:spacing w:line="276" w:lineRule="auto"/>
        <w:contextualSpacing/>
        <w:jc w:val="both"/>
        <w:rPr>
          <w:rFonts w:cstheme="minorHAnsi"/>
          <w:sz w:val="22"/>
          <w:szCs w:val="22"/>
        </w:rPr>
      </w:pPr>
    </w:p>
    <w:p w14:paraId="3A6FC544" w14:textId="4B27F5A3" w:rsidR="001E77C2" w:rsidRPr="00962853" w:rsidRDefault="001E77C2" w:rsidP="00370DC1">
      <w:pPr>
        <w:pStyle w:val="EndnoteText"/>
        <w:spacing w:line="276" w:lineRule="auto"/>
        <w:contextualSpacing/>
        <w:jc w:val="both"/>
        <w:rPr>
          <w:rFonts w:cstheme="minorHAnsi"/>
          <w:sz w:val="22"/>
          <w:szCs w:val="22"/>
        </w:rPr>
      </w:pPr>
      <w:r w:rsidRPr="00962853">
        <w:rPr>
          <w:rFonts w:cstheme="minorHAnsi"/>
          <w:sz w:val="22"/>
          <w:szCs w:val="22"/>
        </w:rPr>
        <w:t>Having a transition plan in place reduces and removes certain risks. When new regimens are introduced, it is important, for example, to ensure active communication to healthcare workers</w:t>
      </w:r>
      <w:r w:rsidR="00A735C3">
        <w:rPr>
          <w:rFonts w:cstheme="minorHAnsi"/>
          <w:sz w:val="22"/>
          <w:szCs w:val="22"/>
        </w:rPr>
        <w:t xml:space="preserve"> (HCWs)</w:t>
      </w:r>
      <w:r w:rsidRPr="00962853">
        <w:rPr>
          <w:rFonts w:cstheme="minorHAnsi"/>
          <w:sz w:val="22"/>
          <w:szCs w:val="22"/>
        </w:rPr>
        <w:t xml:space="preserve"> and create a comprehensive and appropriate </w:t>
      </w:r>
      <w:r w:rsidR="00E726A2" w:rsidRPr="00962853">
        <w:rPr>
          <w:rFonts w:cstheme="minorHAnsi"/>
          <w:sz w:val="22"/>
          <w:szCs w:val="22"/>
        </w:rPr>
        <w:t>orientation</w:t>
      </w:r>
      <w:r w:rsidRPr="00962853">
        <w:rPr>
          <w:rFonts w:cstheme="minorHAnsi"/>
          <w:sz w:val="22"/>
          <w:szCs w:val="22"/>
        </w:rPr>
        <w:t xml:space="preserve"> curriculum. </w:t>
      </w:r>
      <w:r w:rsidR="007E3184" w:rsidRPr="00962853">
        <w:rPr>
          <w:rFonts w:cstheme="minorHAnsi"/>
          <w:sz w:val="22"/>
          <w:szCs w:val="22"/>
        </w:rPr>
        <w:t xml:space="preserve">Similarly, </w:t>
      </w:r>
      <w:r w:rsidR="00A735C3">
        <w:rPr>
          <w:rFonts w:cstheme="minorHAnsi"/>
          <w:sz w:val="22"/>
          <w:szCs w:val="22"/>
        </w:rPr>
        <w:t xml:space="preserve">forecasting and </w:t>
      </w:r>
      <w:r w:rsidR="007E3184" w:rsidRPr="00962853">
        <w:rPr>
          <w:rFonts w:cstheme="minorHAnsi"/>
          <w:sz w:val="22"/>
          <w:szCs w:val="22"/>
        </w:rPr>
        <w:t>q</w:t>
      </w:r>
      <w:r w:rsidRPr="00962853">
        <w:rPr>
          <w:rFonts w:cstheme="minorHAnsi"/>
          <w:sz w:val="22"/>
          <w:szCs w:val="22"/>
        </w:rPr>
        <w:t xml:space="preserve">uantification, especially timing of procurement and delivery of new medicines, is important to ensure that </w:t>
      </w:r>
      <w:r w:rsidR="007E3184" w:rsidRPr="00962853">
        <w:rPr>
          <w:rFonts w:cstheme="minorHAnsi"/>
          <w:sz w:val="22"/>
          <w:szCs w:val="22"/>
        </w:rPr>
        <w:t xml:space="preserve">the country is prepared to begin the transition and that there will be no shortages. </w:t>
      </w:r>
      <w:r w:rsidRPr="00962853">
        <w:rPr>
          <w:rFonts w:cstheme="minorHAnsi"/>
          <w:sz w:val="22"/>
          <w:szCs w:val="22"/>
        </w:rPr>
        <w:t xml:space="preserve">National level quantification plans need to be aligned with implementation plans at the levels of treatment centers. </w:t>
      </w:r>
      <w:r w:rsidR="007E3184" w:rsidRPr="00962853">
        <w:rPr>
          <w:rFonts w:cstheme="minorHAnsi"/>
          <w:sz w:val="22"/>
          <w:szCs w:val="22"/>
        </w:rPr>
        <w:t xml:space="preserve">The </w:t>
      </w:r>
      <w:r w:rsidR="00A735C3" w:rsidRPr="00BE1EB9">
        <w:rPr>
          <w:rFonts w:cstheme="minorHAnsi"/>
          <w:sz w:val="22"/>
          <w:szCs w:val="22"/>
          <w:highlight w:val="yellow"/>
        </w:rPr>
        <w:t>[insert working group name]</w:t>
      </w:r>
      <w:r w:rsidR="00A735C3">
        <w:rPr>
          <w:rFonts w:cstheme="minorHAnsi"/>
          <w:sz w:val="22"/>
          <w:szCs w:val="22"/>
        </w:rPr>
        <w:t xml:space="preserve"> </w:t>
      </w:r>
      <w:r w:rsidR="007E3184" w:rsidRPr="00962853">
        <w:rPr>
          <w:rFonts w:cstheme="minorHAnsi"/>
          <w:sz w:val="22"/>
          <w:szCs w:val="22"/>
        </w:rPr>
        <w:t>has considered all aspects of introduc</w:t>
      </w:r>
      <w:r w:rsidR="00E3194B" w:rsidRPr="00962853">
        <w:rPr>
          <w:rFonts w:cstheme="minorHAnsi"/>
          <w:sz w:val="22"/>
          <w:szCs w:val="22"/>
        </w:rPr>
        <w:t>ing pDTG</w:t>
      </w:r>
      <w:r w:rsidR="007E3184" w:rsidRPr="00962853">
        <w:rPr>
          <w:rFonts w:cstheme="minorHAnsi"/>
          <w:sz w:val="22"/>
          <w:szCs w:val="22"/>
        </w:rPr>
        <w:t xml:space="preserve"> as the preferred </w:t>
      </w:r>
      <w:r w:rsidR="00E3194B" w:rsidRPr="00962853">
        <w:rPr>
          <w:rFonts w:cstheme="minorHAnsi"/>
          <w:sz w:val="22"/>
          <w:szCs w:val="22"/>
        </w:rPr>
        <w:t xml:space="preserve">pediatric </w:t>
      </w:r>
      <w:r w:rsidR="007E3184" w:rsidRPr="00962853">
        <w:rPr>
          <w:rFonts w:cstheme="minorHAnsi"/>
          <w:sz w:val="22"/>
          <w:szCs w:val="22"/>
        </w:rPr>
        <w:t xml:space="preserve">regimen </w:t>
      </w:r>
      <w:r w:rsidR="00E3194B" w:rsidRPr="00962853">
        <w:rPr>
          <w:rFonts w:cstheme="minorHAnsi"/>
          <w:sz w:val="22"/>
          <w:szCs w:val="22"/>
        </w:rPr>
        <w:t xml:space="preserve">for children &lt;20 kg </w:t>
      </w:r>
      <w:r w:rsidR="007E3184" w:rsidRPr="00962853">
        <w:rPr>
          <w:rFonts w:cstheme="minorHAnsi"/>
          <w:sz w:val="22"/>
          <w:szCs w:val="22"/>
        </w:rPr>
        <w:t xml:space="preserve">and the summary of the transition plan </w:t>
      </w:r>
      <w:r w:rsidR="00852353" w:rsidRPr="00962853">
        <w:rPr>
          <w:rFonts w:cstheme="minorHAnsi"/>
          <w:sz w:val="22"/>
          <w:szCs w:val="22"/>
        </w:rPr>
        <w:t xml:space="preserve">is </w:t>
      </w:r>
      <w:r w:rsidR="007E3184" w:rsidRPr="00962853">
        <w:rPr>
          <w:rFonts w:cstheme="minorHAnsi"/>
          <w:sz w:val="22"/>
          <w:szCs w:val="22"/>
        </w:rPr>
        <w:t>detailed in this document.</w:t>
      </w:r>
    </w:p>
    <w:p w14:paraId="6CEF83DD" w14:textId="77777777" w:rsidR="00566DD3" w:rsidRPr="00962853" w:rsidRDefault="00566DD3" w:rsidP="00370DC1">
      <w:pPr>
        <w:pStyle w:val="EndnoteText"/>
        <w:spacing w:line="276" w:lineRule="auto"/>
        <w:contextualSpacing/>
        <w:jc w:val="both"/>
        <w:rPr>
          <w:rFonts w:cstheme="minorHAnsi"/>
          <w:sz w:val="22"/>
          <w:szCs w:val="22"/>
        </w:rPr>
      </w:pPr>
    </w:p>
    <w:p w14:paraId="3BA29E09" w14:textId="72F1DAD6" w:rsidR="00566DD3" w:rsidRPr="00962853" w:rsidRDefault="00566DD3" w:rsidP="00370DC1">
      <w:pPr>
        <w:pStyle w:val="EndnoteText"/>
        <w:spacing w:line="276" w:lineRule="auto"/>
        <w:contextualSpacing/>
        <w:jc w:val="both"/>
        <w:rPr>
          <w:rFonts w:cstheme="minorHAnsi"/>
          <w:sz w:val="22"/>
          <w:szCs w:val="22"/>
        </w:rPr>
      </w:pPr>
      <w:r w:rsidRPr="00962853">
        <w:rPr>
          <w:rFonts w:cstheme="minorHAnsi"/>
          <w:sz w:val="22"/>
          <w:szCs w:val="22"/>
        </w:rPr>
        <w:t xml:space="preserve">The scope of this document is to provide key information on all aspects associated with introduction of </w:t>
      </w:r>
      <w:r w:rsidR="008C59C7" w:rsidRPr="00962853">
        <w:rPr>
          <w:rFonts w:cstheme="minorHAnsi"/>
          <w:sz w:val="22"/>
          <w:szCs w:val="22"/>
        </w:rPr>
        <w:t>p</w:t>
      </w:r>
      <w:r w:rsidRPr="00962853">
        <w:rPr>
          <w:rFonts w:cstheme="minorHAnsi"/>
          <w:sz w:val="22"/>
          <w:szCs w:val="22"/>
        </w:rPr>
        <w:t xml:space="preserve">DTG </w:t>
      </w:r>
      <w:r w:rsidRPr="00D7705A">
        <w:rPr>
          <w:rFonts w:cstheme="minorHAnsi"/>
          <w:sz w:val="22"/>
          <w:szCs w:val="22"/>
        </w:rPr>
        <w:t xml:space="preserve">in </w:t>
      </w:r>
      <w:r w:rsidR="008C59C7" w:rsidRPr="006D7D7F">
        <w:rPr>
          <w:rFonts w:cstheme="minorHAnsi"/>
          <w:sz w:val="22"/>
          <w:szCs w:val="22"/>
          <w:highlight w:val="yellow"/>
        </w:rPr>
        <w:t>country X</w:t>
      </w:r>
      <w:r w:rsidRPr="00D7705A">
        <w:rPr>
          <w:rFonts w:cstheme="minorHAnsi"/>
          <w:sz w:val="22"/>
          <w:szCs w:val="22"/>
        </w:rPr>
        <w:t>.</w:t>
      </w:r>
      <w:r w:rsidRPr="00962853">
        <w:rPr>
          <w:rFonts w:cstheme="minorHAnsi"/>
          <w:sz w:val="22"/>
          <w:szCs w:val="22"/>
        </w:rPr>
        <w:t xml:space="preserve"> The major sections within this document are outlined in order below:</w:t>
      </w:r>
    </w:p>
    <w:p w14:paraId="689596B5" w14:textId="77777777" w:rsidR="00566DD3" w:rsidRPr="00962853" w:rsidRDefault="00566DD3" w:rsidP="00370DC1">
      <w:pPr>
        <w:pStyle w:val="EndnoteText"/>
        <w:spacing w:line="276" w:lineRule="auto"/>
        <w:contextualSpacing/>
        <w:jc w:val="both"/>
        <w:rPr>
          <w:rFonts w:cstheme="minorHAnsi"/>
          <w:sz w:val="22"/>
          <w:szCs w:val="22"/>
        </w:rPr>
      </w:pPr>
    </w:p>
    <w:p w14:paraId="4DC39CFB" w14:textId="77777777" w:rsidR="00566DD3" w:rsidRPr="00962853" w:rsidRDefault="00566DD3" w:rsidP="00370DC1">
      <w:pPr>
        <w:pStyle w:val="EndnoteText"/>
        <w:numPr>
          <w:ilvl w:val="0"/>
          <w:numId w:val="19"/>
        </w:numPr>
        <w:spacing w:after="120" w:line="276" w:lineRule="auto"/>
        <w:contextualSpacing/>
        <w:jc w:val="both"/>
        <w:rPr>
          <w:rFonts w:cstheme="minorHAnsi"/>
          <w:sz w:val="22"/>
          <w:szCs w:val="22"/>
        </w:rPr>
      </w:pPr>
      <w:r w:rsidRPr="00962853">
        <w:rPr>
          <w:rFonts w:cstheme="minorHAnsi"/>
          <w:sz w:val="22"/>
          <w:szCs w:val="22"/>
        </w:rPr>
        <w:t>High-Level Introduction Plan</w:t>
      </w:r>
    </w:p>
    <w:p w14:paraId="646A335B" w14:textId="77777777" w:rsidR="00566DD3" w:rsidRPr="00962853" w:rsidRDefault="00566DD3" w:rsidP="00370DC1">
      <w:pPr>
        <w:pStyle w:val="EndnoteText"/>
        <w:numPr>
          <w:ilvl w:val="0"/>
          <w:numId w:val="19"/>
        </w:numPr>
        <w:spacing w:after="120" w:line="276" w:lineRule="auto"/>
        <w:contextualSpacing/>
        <w:jc w:val="both"/>
        <w:rPr>
          <w:rFonts w:cstheme="minorHAnsi"/>
          <w:sz w:val="22"/>
          <w:szCs w:val="22"/>
        </w:rPr>
      </w:pPr>
      <w:r w:rsidRPr="00962853">
        <w:rPr>
          <w:rFonts w:cstheme="minorHAnsi"/>
          <w:sz w:val="22"/>
          <w:szCs w:val="22"/>
        </w:rPr>
        <w:lastRenderedPageBreak/>
        <w:t>Technical Processes</w:t>
      </w:r>
    </w:p>
    <w:p w14:paraId="594112A8" w14:textId="77777777" w:rsidR="00566DD3" w:rsidRPr="00962853" w:rsidRDefault="00566DD3" w:rsidP="00370DC1">
      <w:pPr>
        <w:pStyle w:val="EndnoteText"/>
        <w:numPr>
          <w:ilvl w:val="0"/>
          <w:numId w:val="19"/>
        </w:numPr>
        <w:spacing w:after="120" w:line="276" w:lineRule="auto"/>
        <w:contextualSpacing/>
        <w:jc w:val="both"/>
        <w:rPr>
          <w:rFonts w:cstheme="minorHAnsi"/>
          <w:sz w:val="22"/>
          <w:szCs w:val="22"/>
        </w:rPr>
      </w:pPr>
      <w:r w:rsidRPr="00962853">
        <w:rPr>
          <w:rFonts w:cstheme="minorHAnsi"/>
          <w:sz w:val="22"/>
          <w:szCs w:val="22"/>
        </w:rPr>
        <w:t>Forecasting, Quantification, and Procurement</w:t>
      </w:r>
    </w:p>
    <w:p w14:paraId="3075A6C0" w14:textId="6123A521" w:rsidR="00566DD3" w:rsidRPr="00962853" w:rsidRDefault="008E08B3" w:rsidP="00370DC1">
      <w:pPr>
        <w:pStyle w:val="EndnoteText"/>
        <w:numPr>
          <w:ilvl w:val="0"/>
          <w:numId w:val="19"/>
        </w:numPr>
        <w:spacing w:after="120" w:line="276" w:lineRule="auto"/>
        <w:contextualSpacing/>
        <w:jc w:val="both"/>
        <w:rPr>
          <w:rFonts w:cstheme="minorHAnsi"/>
          <w:sz w:val="22"/>
          <w:szCs w:val="22"/>
        </w:rPr>
      </w:pPr>
      <w:r>
        <w:rPr>
          <w:rFonts w:cstheme="minorHAnsi"/>
          <w:sz w:val="22"/>
          <w:szCs w:val="22"/>
        </w:rPr>
        <w:t>Training</w:t>
      </w:r>
      <w:r w:rsidR="00566DD3" w:rsidRPr="00962853">
        <w:rPr>
          <w:rFonts w:cstheme="minorHAnsi"/>
          <w:sz w:val="22"/>
          <w:szCs w:val="22"/>
        </w:rPr>
        <w:t xml:space="preserve"> Plan</w:t>
      </w:r>
    </w:p>
    <w:p w14:paraId="2C8AE6EC" w14:textId="5D156F0F" w:rsidR="00566DD3" w:rsidRPr="00962853" w:rsidRDefault="00566DD3" w:rsidP="00370DC1">
      <w:pPr>
        <w:pStyle w:val="EndnoteText"/>
        <w:numPr>
          <w:ilvl w:val="0"/>
          <w:numId w:val="19"/>
        </w:numPr>
        <w:spacing w:after="120" w:line="276" w:lineRule="auto"/>
        <w:contextualSpacing/>
        <w:jc w:val="both"/>
        <w:rPr>
          <w:rFonts w:cstheme="minorHAnsi"/>
          <w:sz w:val="22"/>
          <w:szCs w:val="22"/>
        </w:rPr>
      </w:pPr>
      <w:r w:rsidRPr="00962853">
        <w:rPr>
          <w:rFonts w:cstheme="minorHAnsi"/>
          <w:sz w:val="22"/>
          <w:szCs w:val="22"/>
        </w:rPr>
        <w:t xml:space="preserve">Monitoring </w:t>
      </w:r>
      <w:r w:rsidR="00446011">
        <w:rPr>
          <w:rFonts w:cstheme="minorHAnsi"/>
          <w:sz w:val="22"/>
          <w:szCs w:val="22"/>
        </w:rPr>
        <w:t>&amp; Evaluation</w:t>
      </w:r>
    </w:p>
    <w:p w14:paraId="67C9B709" w14:textId="6F381D37" w:rsidR="00566DD3" w:rsidRPr="00962853" w:rsidRDefault="00566DD3" w:rsidP="00370DC1">
      <w:pPr>
        <w:pStyle w:val="EndnoteText"/>
        <w:numPr>
          <w:ilvl w:val="0"/>
          <w:numId w:val="19"/>
        </w:numPr>
        <w:spacing w:after="120" w:line="276" w:lineRule="auto"/>
        <w:contextualSpacing/>
        <w:jc w:val="both"/>
        <w:rPr>
          <w:rFonts w:cstheme="minorHAnsi"/>
          <w:sz w:val="22"/>
          <w:szCs w:val="22"/>
        </w:rPr>
      </w:pPr>
      <w:r w:rsidRPr="00962853">
        <w:rPr>
          <w:rFonts w:cstheme="minorHAnsi"/>
          <w:sz w:val="22"/>
          <w:szCs w:val="22"/>
        </w:rPr>
        <w:t>Pharmacovigilance</w:t>
      </w:r>
      <w:r w:rsidR="000D41E2">
        <w:rPr>
          <w:rFonts w:cstheme="minorHAnsi"/>
          <w:sz w:val="22"/>
          <w:szCs w:val="22"/>
        </w:rPr>
        <w:t xml:space="preserve"> and</w:t>
      </w:r>
      <w:r w:rsidR="00DC7FB9" w:rsidRPr="00962853">
        <w:rPr>
          <w:rFonts w:cstheme="minorHAnsi"/>
          <w:sz w:val="22"/>
          <w:szCs w:val="22"/>
        </w:rPr>
        <w:t xml:space="preserve"> Drug Resistance Surveillance</w:t>
      </w:r>
    </w:p>
    <w:p w14:paraId="407FC32A" w14:textId="6F054CD4" w:rsidR="00566DD3" w:rsidRDefault="00566DD3" w:rsidP="00370DC1">
      <w:pPr>
        <w:pStyle w:val="EndnoteText"/>
        <w:numPr>
          <w:ilvl w:val="0"/>
          <w:numId w:val="19"/>
        </w:numPr>
        <w:spacing w:after="120" w:line="276" w:lineRule="auto"/>
        <w:contextualSpacing/>
        <w:jc w:val="both"/>
        <w:rPr>
          <w:rFonts w:cstheme="minorHAnsi"/>
          <w:sz w:val="22"/>
          <w:szCs w:val="22"/>
        </w:rPr>
      </w:pPr>
      <w:r w:rsidRPr="00962853">
        <w:rPr>
          <w:rFonts w:cstheme="minorHAnsi"/>
          <w:sz w:val="22"/>
          <w:szCs w:val="22"/>
        </w:rPr>
        <w:t>Anticipated Risks and Mitigation Strategy</w:t>
      </w:r>
    </w:p>
    <w:p w14:paraId="396155AE" w14:textId="423F23C7" w:rsidR="00020CE2" w:rsidRPr="00962853" w:rsidRDefault="00020CE2" w:rsidP="00370DC1">
      <w:pPr>
        <w:pStyle w:val="EndnoteText"/>
        <w:numPr>
          <w:ilvl w:val="0"/>
          <w:numId w:val="19"/>
        </w:numPr>
        <w:spacing w:after="120" w:line="276" w:lineRule="auto"/>
        <w:contextualSpacing/>
        <w:jc w:val="both"/>
        <w:rPr>
          <w:rFonts w:cstheme="minorHAnsi"/>
          <w:sz w:val="22"/>
          <w:szCs w:val="22"/>
        </w:rPr>
      </w:pPr>
      <w:r>
        <w:rPr>
          <w:rFonts w:cstheme="minorHAnsi"/>
          <w:sz w:val="22"/>
          <w:szCs w:val="22"/>
        </w:rPr>
        <w:t>Roles &amp; Responsibilities</w:t>
      </w:r>
    </w:p>
    <w:p w14:paraId="5FAB29B5" w14:textId="56C5B4E6" w:rsidR="00646740" w:rsidRPr="00962853" w:rsidRDefault="00566DD3" w:rsidP="00370DC1">
      <w:pPr>
        <w:pStyle w:val="EndnoteText"/>
        <w:numPr>
          <w:ilvl w:val="0"/>
          <w:numId w:val="19"/>
        </w:numPr>
        <w:spacing w:after="120" w:line="276" w:lineRule="auto"/>
        <w:contextualSpacing/>
        <w:jc w:val="both"/>
        <w:rPr>
          <w:rFonts w:cstheme="minorHAnsi"/>
          <w:sz w:val="22"/>
          <w:szCs w:val="22"/>
        </w:rPr>
      </w:pPr>
      <w:r w:rsidRPr="00962853">
        <w:rPr>
          <w:rFonts w:cstheme="minorHAnsi"/>
          <w:sz w:val="22"/>
          <w:szCs w:val="22"/>
        </w:rPr>
        <w:t xml:space="preserve">Select </w:t>
      </w:r>
      <w:r w:rsidR="0038384C">
        <w:rPr>
          <w:rFonts w:cstheme="minorHAnsi"/>
          <w:sz w:val="22"/>
          <w:szCs w:val="22"/>
        </w:rPr>
        <w:t>s</w:t>
      </w:r>
      <w:r w:rsidRPr="00962853">
        <w:rPr>
          <w:rFonts w:cstheme="minorHAnsi"/>
          <w:sz w:val="22"/>
          <w:szCs w:val="22"/>
        </w:rPr>
        <w:t xml:space="preserve">ites for </w:t>
      </w:r>
      <w:r w:rsidR="00C27463" w:rsidRPr="00962853">
        <w:rPr>
          <w:rFonts w:cstheme="minorHAnsi"/>
          <w:sz w:val="22"/>
          <w:szCs w:val="22"/>
        </w:rPr>
        <w:t>p</w:t>
      </w:r>
      <w:r w:rsidRPr="00962853">
        <w:rPr>
          <w:rFonts w:cstheme="minorHAnsi"/>
          <w:sz w:val="22"/>
          <w:szCs w:val="22"/>
        </w:rPr>
        <w:t xml:space="preserve">DTG </w:t>
      </w:r>
      <w:r w:rsidR="0065730D" w:rsidRPr="00962853">
        <w:rPr>
          <w:rFonts w:cstheme="minorHAnsi"/>
          <w:sz w:val="22"/>
          <w:szCs w:val="22"/>
        </w:rPr>
        <w:t>i</w:t>
      </w:r>
      <w:r w:rsidRPr="00962853">
        <w:rPr>
          <w:rFonts w:cstheme="minorHAnsi"/>
          <w:sz w:val="22"/>
          <w:szCs w:val="22"/>
        </w:rPr>
        <w:t>ntroduction</w:t>
      </w:r>
      <w:r w:rsidR="0065730D" w:rsidRPr="00962853">
        <w:rPr>
          <w:rFonts w:cstheme="minorHAnsi"/>
          <w:sz w:val="22"/>
          <w:szCs w:val="22"/>
        </w:rPr>
        <w:t xml:space="preserve"> and scale-up</w:t>
      </w:r>
    </w:p>
    <w:p w14:paraId="446BF1D9" w14:textId="77777777" w:rsidR="00C832A5" w:rsidRPr="007F5C54" w:rsidRDefault="00E13A52" w:rsidP="00370DC1">
      <w:pPr>
        <w:pStyle w:val="Heading1"/>
        <w:numPr>
          <w:ilvl w:val="0"/>
          <w:numId w:val="23"/>
        </w:numPr>
        <w:jc w:val="both"/>
        <w:rPr>
          <w:rFonts w:asciiTheme="minorHAnsi" w:hAnsiTheme="minorHAnsi" w:cstheme="minorHAnsi"/>
        </w:rPr>
      </w:pPr>
      <w:r w:rsidRPr="007F5C54">
        <w:rPr>
          <w:rFonts w:asciiTheme="minorHAnsi" w:hAnsiTheme="minorHAnsi" w:cstheme="minorHAnsi"/>
        </w:rPr>
        <w:t xml:space="preserve">High-Level Introduction </w:t>
      </w:r>
      <w:commentRangeStart w:id="3"/>
      <w:r w:rsidRPr="007F5C54">
        <w:rPr>
          <w:rFonts w:asciiTheme="minorHAnsi" w:hAnsiTheme="minorHAnsi" w:cstheme="minorHAnsi"/>
        </w:rPr>
        <w:t>Plan</w:t>
      </w:r>
      <w:commentRangeEnd w:id="3"/>
      <w:r w:rsidR="006D7D7F">
        <w:rPr>
          <w:rStyle w:val="CommentReference"/>
          <w:rFonts w:asciiTheme="minorHAnsi" w:eastAsiaTheme="minorHAnsi" w:hAnsiTheme="minorHAnsi" w:cstheme="minorBidi"/>
          <w:color w:val="auto"/>
        </w:rPr>
        <w:commentReference w:id="3"/>
      </w:r>
    </w:p>
    <w:p w14:paraId="71F4D81E" w14:textId="03426634" w:rsidR="00E13A52" w:rsidRPr="00962853" w:rsidRDefault="00193F00" w:rsidP="00370DC1">
      <w:pPr>
        <w:pStyle w:val="EndnoteText"/>
        <w:spacing w:line="276" w:lineRule="auto"/>
        <w:jc w:val="both"/>
        <w:rPr>
          <w:rFonts w:cstheme="minorHAnsi"/>
          <w:sz w:val="22"/>
          <w:szCs w:val="22"/>
        </w:rPr>
      </w:pPr>
      <w:r w:rsidRPr="006E7E89">
        <w:rPr>
          <w:rFonts w:cstheme="minorHAnsi"/>
          <w:i/>
          <w:iCs/>
          <w:sz w:val="22"/>
          <w:szCs w:val="22"/>
          <w:highlight w:val="yellow"/>
        </w:rPr>
        <w:t>[</w:t>
      </w:r>
      <w:r w:rsidR="007A196E" w:rsidRPr="006E7E89">
        <w:rPr>
          <w:rFonts w:cstheme="minorHAnsi"/>
          <w:i/>
          <w:iCs/>
          <w:sz w:val="22"/>
          <w:szCs w:val="22"/>
          <w:highlight w:val="yellow"/>
        </w:rPr>
        <w:t>Potentially c</w:t>
      </w:r>
      <w:r w:rsidRPr="006E7E89">
        <w:rPr>
          <w:rFonts w:cstheme="minorHAnsi"/>
          <w:i/>
          <w:iCs/>
          <w:sz w:val="22"/>
          <w:szCs w:val="22"/>
          <w:highlight w:val="yellow"/>
        </w:rPr>
        <w:t xml:space="preserve">reate a </w:t>
      </w:r>
      <w:r w:rsidR="00E13A52" w:rsidRPr="006E7E89">
        <w:rPr>
          <w:rFonts w:cstheme="minorHAnsi"/>
          <w:i/>
          <w:iCs/>
          <w:sz w:val="22"/>
          <w:szCs w:val="22"/>
          <w:highlight w:val="yellow"/>
        </w:rPr>
        <w:t xml:space="preserve">graphic </w:t>
      </w:r>
      <w:r w:rsidRPr="006E7E89">
        <w:rPr>
          <w:rFonts w:cstheme="minorHAnsi"/>
          <w:i/>
          <w:iCs/>
          <w:sz w:val="22"/>
          <w:szCs w:val="22"/>
          <w:highlight w:val="yellow"/>
        </w:rPr>
        <w:t xml:space="preserve">such as the one below, that </w:t>
      </w:r>
      <w:r w:rsidR="00E13A52" w:rsidRPr="006E7E89">
        <w:rPr>
          <w:rFonts w:cstheme="minorHAnsi"/>
          <w:i/>
          <w:iCs/>
          <w:sz w:val="22"/>
          <w:szCs w:val="22"/>
          <w:highlight w:val="yellow"/>
        </w:rPr>
        <w:t xml:space="preserve">summarizes the high-level introduction plan for </w:t>
      </w:r>
      <w:r w:rsidRPr="006E7E89">
        <w:rPr>
          <w:rFonts w:cstheme="minorHAnsi"/>
          <w:i/>
          <w:iCs/>
          <w:sz w:val="22"/>
          <w:szCs w:val="22"/>
          <w:highlight w:val="yellow"/>
        </w:rPr>
        <w:t>p</w:t>
      </w:r>
      <w:r w:rsidR="00E13A52" w:rsidRPr="006E7E89">
        <w:rPr>
          <w:rFonts w:cstheme="minorHAnsi"/>
          <w:i/>
          <w:iCs/>
          <w:sz w:val="22"/>
          <w:szCs w:val="22"/>
          <w:highlight w:val="yellow"/>
        </w:rPr>
        <w:t>DTG-based regimens.</w:t>
      </w:r>
      <w:r w:rsidRPr="006E7E89">
        <w:rPr>
          <w:rFonts w:cstheme="minorHAnsi"/>
          <w:i/>
          <w:iCs/>
          <w:sz w:val="22"/>
          <w:szCs w:val="22"/>
          <w:highlight w:val="yellow"/>
        </w:rPr>
        <w:t>]</w:t>
      </w:r>
      <w:r w:rsidR="00E13A52" w:rsidRPr="00962853">
        <w:rPr>
          <w:rFonts w:cstheme="minorHAnsi"/>
          <w:sz w:val="22"/>
          <w:szCs w:val="22"/>
        </w:rPr>
        <w:t xml:space="preserve"> A detailed discussion of each core area will be </w:t>
      </w:r>
      <w:r w:rsidR="007954D8" w:rsidRPr="00962853">
        <w:rPr>
          <w:rFonts w:cstheme="minorHAnsi"/>
          <w:sz w:val="22"/>
          <w:szCs w:val="22"/>
        </w:rPr>
        <w:t>presented</w:t>
      </w:r>
      <w:r w:rsidR="00E13A52" w:rsidRPr="00962853">
        <w:rPr>
          <w:rFonts w:cstheme="minorHAnsi"/>
          <w:sz w:val="22"/>
          <w:szCs w:val="22"/>
        </w:rPr>
        <w:t xml:space="preserve"> in this guide.</w:t>
      </w:r>
    </w:p>
    <w:p w14:paraId="5913D8D4" w14:textId="77777777" w:rsidR="00576DFE" w:rsidRPr="00962853" w:rsidRDefault="00576DFE" w:rsidP="00370DC1">
      <w:pPr>
        <w:pStyle w:val="EndnoteText"/>
        <w:spacing w:line="276" w:lineRule="auto"/>
        <w:jc w:val="both"/>
        <w:rPr>
          <w:rFonts w:cstheme="minorHAnsi"/>
          <w:b/>
          <w:color w:val="548DD4" w:themeColor="text2" w:themeTint="99"/>
          <w:sz w:val="22"/>
          <w:szCs w:val="22"/>
        </w:rPr>
      </w:pPr>
    </w:p>
    <w:p w14:paraId="69722670" w14:textId="5A8E4FA3" w:rsidR="00E13A52" w:rsidRPr="00962853" w:rsidRDefault="001B46AE" w:rsidP="00370DC1">
      <w:pPr>
        <w:pStyle w:val="EndnoteText"/>
        <w:spacing w:line="276" w:lineRule="auto"/>
        <w:jc w:val="both"/>
        <w:rPr>
          <w:rFonts w:cstheme="minorHAnsi"/>
          <w:b/>
          <w:color w:val="548DD4" w:themeColor="text2" w:themeTint="99"/>
          <w:sz w:val="22"/>
          <w:szCs w:val="22"/>
        </w:rPr>
      </w:pPr>
      <w:commentRangeStart w:id="4"/>
      <w:r w:rsidRPr="001B46AE">
        <w:rPr>
          <w:rFonts w:cstheme="minorHAnsi"/>
          <w:b/>
          <w:noProof/>
          <w:color w:val="548DD4" w:themeColor="text2" w:themeTint="99"/>
          <w:sz w:val="22"/>
          <w:szCs w:val="22"/>
        </w:rPr>
        <w:drawing>
          <wp:inline distT="0" distB="0" distL="0" distR="0" wp14:anchorId="20920C1D" wp14:editId="001461B0">
            <wp:extent cx="5867400" cy="3292928"/>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5"/>
                    <a:stretch>
                      <a:fillRect/>
                    </a:stretch>
                  </pic:blipFill>
                  <pic:spPr>
                    <a:xfrm>
                      <a:off x="0" y="0"/>
                      <a:ext cx="5877898" cy="3298820"/>
                    </a:xfrm>
                    <a:prstGeom prst="rect">
                      <a:avLst/>
                    </a:prstGeom>
                  </pic:spPr>
                </pic:pic>
              </a:graphicData>
            </a:graphic>
          </wp:inline>
        </w:drawing>
      </w:r>
      <w:commentRangeEnd w:id="4"/>
      <w:r w:rsidR="00B56121">
        <w:rPr>
          <w:rStyle w:val="CommentReference"/>
        </w:rPr>
        <w:commentReference w:id="4"/>
      </w:r>
    </w:p>
    <w:p w14:paraId="42108034" w14:textId="7D401AD1" w:rsidR="006D7D7F" w:rsidRPr="006D7D7F" w:rsidRDefault="006D7D7F" w:rsidP="00370DC1">
      <w:pPr>
        <w:pStyle w:val="EndnoteText"/>
        <w:spacing w:line="276" w:lineRule="auto"/>
        <w:jc w:val="both"/>
        <w:rPr>
          <w:rFonts w:cstheme="minorHAnsi"/>
          <w:sz w:val="22"/>
          <w:szCs w:val="22"/>
        </w:rPr>
      </w:pPr>
    </w:p>
    <w:p w14:paraId="4FC4F00D" w14:textId="46A1E44E" w:rsidR="00C832A5" w:rsidRPr="007F5C54" w:rsidRDefault="00C832A5" w:rsidP="00370DC1">
      <w:pPr>
        <w:pStyle w:val="Heading1"/>
        <w:numPr>
          <w:ilvl w:val="0"/>
          <w:numId w:val="23"/>
        </w:numPr>
        <w:jc w:val="both"/>
        <w:rPr>
          <w:rFonts w:asciiTheme="minorHAnsi" w:hAnsiTheme="minorHAnsi" w:cstheme="minorHAnsi"/>
        </w:rPr>
      </w:pPr>
      <w:r w:rsidRPr="007F5C54">
        <w:rPr>
          <w:rFonts w:asciiTheme="minorHAnsi" w:hAnsiTheme="minorHAnsi" w:cstheme="minorHAnsi"/>
        </w:rPr>
        <w:t>Technical Processes</w:t>
      </w:r>
    </w:p>
    <w:p w14:paraId="0A2B66B2" w14:textId="46C674D9" w:rsidR="0069287D" w:rsidRDefault="0069287D" w:rsidP="00370DC1">
      <w:pPr>
        <w:pStyle w:val="Heading2"/>
        <w:numPr>
          <w:ilvl w:val="1"/>
          <w:numId w:val="23"/>
        </w:numPr>
        <w:jc w:val="both"/>
        <w:rPr>
          <w:rFonts w:asciiTheme="minorHAnsi" w:hAnsiTheme="minorHAnsi" w:cstheme="minorHAnsi"/>
        </w:rPr>
      </w:pPr>
      <w:r>
        <w:rPr>
          <w:rFonts w:asciiTheme="minorHAnsi" w:hAnsiTheme="minorHAnsi" w:cstheme="minorHAnsi"/>
        </w:rPr>
        <w:t xml:space="preserve">Establishing a </w:t>
      </w:r>
      <w:r w:rsidR="00A735C3">
        <w:rPr>
          <w:rFonts w:asciiTheme="minorHAnsi" w:hAnsiTheme="minorHAnsi" w:cstheme="minorHAnsi"/>
        </w:rPr>
        <w:t xml:space="preserve">dedicated </w:t>
      </w:r>
      <w:r>
        <w:rPr>
          <w:rFonts w:asciiTheme="minorHAnsi" w:hAnsiTheme="minorHAnsi" w:cstheme="minorHAnsi"/>
        </w:rPr>
        <w:t xml:space="preserve">technical working group (TWG) </w:t>
      </w:r>
      <w:r w:rsidR="00A735C3">
        <w:rPr>
          <w:rFonts w:asciiTheme="minorHAnsi" w:hAnsiTheme="minorHAnsi" w:cstheme="minorHAnsi"/>
        </w:rPr>
        <w:t>for national pDTG decision-making</w:t>
      </w:r>
    </w:p>
    <w:p w14:paraId="3F4F08C3" w14:textId="56262B28" w:rsidR="0069287D" w:rsidRPr="00C63F66" w:rsidRDefault="0069287D" w:rsidP="00370DC1">
      <w:pPr>
        <w:jc w:val="both"/>
        <w:rPr>
          <w:i/>
          <w:iCs/>
        </w:rPr>
      </w:pPr>
      <w:r w:rsidRPr="00C63F66">
        <w:rPr>
          <w:i/>
          <w:iCs/>
          <w:highlight w:val="yellow"/>
        </w:rPr>
        <w:t>[Include information on the key decision-making body; content should include details of key stakeholders (MOH, CHAI, CDC, USAID, GF, other IP details, Community, etc.), frequency to meetings, etc.]</w:t>
      </w:r>
    </w:p>
    <w:p w14:paraId="32962261" w14:textId="5CCA204A" w:rsidR="00C832A5" w:rsidRPr="00962853" w:rsidRDefault="00C832A5" w:rsidP="00370DC1">
      <w:pPr>
        <w:pStyle w:val="Heading2"/>
        <w:numPr>
          <w:ilvl w:val="1"/>
          <w:numId w:val="23"/>
        </w:numPr>
        <w:jc w:val="both"/>
        <w:rPr>
          <w:rFonts w:asciiTheme="minorHAnsi" w:hAnsiTheme="minorHAnsi" w:cstheme="minorHAnsi"/>
        </w:rPr>
      </w:pPr>
      <w:r w:rsidRPr="00962853">
        <w:rPr>
          <w:rFonts w:asciiTheme="minorHAnsi" w:hAnsiTheme="minorHAnsi" w:cstheme="minorHAnsi"/>
        </w:rPr>
        <w:lastRenderedPageBreak/>
        <w:t xml:space="preserve">Updating National ART Guidelines </w:t>
      </w:r>
    </w:p>
    <w:p w14:paraId="35591395" w14:textId="7F7878B6" w:rsidR="00C832A5" w:rsidRPr="00B32727" w:rsidRDefault="001B2DE3" w:rsidP="00370DC1">
      <w:pPr>
        <w:pStyle w:val="EndnoteText"/>
        <w:spacing w:line="276" w:lineRule="auto"/>
        <w:jc w:val="both"/>
        <w:rPr>
          <w:rFonts w:cstheme="minorHAnsi"/>
          <w:i/>
          <w:iCs/>
          <w:sz w:val="22"/>
          <w:szCs w:val="22"/>
        </w:rPr>
      </w:pPr>
      <w:r w:rsidRPr="00741599">
        <w:rPr>
          <w:rFonts w:cstheme="minorHAnsi"/>
          <w:i/>
          <w:iCs/>
          <w:sz w:val="22"/>
          <w:szCs w:val="22"/>
          <w:highlight w:val="yellow"/>
        </w:rPr>
        <w:t>[</w:t>
      </w:r>
      <w:r w:rsidR="0014602A">
        <w:rPr>
          <w:rFonts w:cstheme="minorHAnsi"/>
          <w:i/>
          <w:iCs/>
          <w:sz w:val="22"/>
          <w:szCs w:val="22"/>
          <w:highlight w:val="yellow"/>
        </w:rPr>
        <w:t>P</w:t>
      </w:r>
      <w:r w:rsidRPr="00741599">
        <w:rPr>
          <w:rFonts w:cstheme="minorHAnsi"/>
          <w:i/>
          <w:iCs/>
          <w:sz w:val="22"/>
          <w:szCs w:val="22"/>
          <w:highlight w:val="yellow"/>
        </w:rPr>
        <w:t>rovide status on guidelines review and revision; plans for dissemination to all stakeholders—either via new revised guidelines or a memorandum/ circular; provide screenshot of latest guidelines containing pDTG, if available]</w:t>
      </w:r>
      <w:r w:rsidRPr="00962853">
        <w:rPr>
          <w:rFonts w:cstheme="minorHAnsi"/>
          <w:i/>
          <w:iCs/>
          <w:sz w:val="22"/>
          <w:szCs w:val="22"/>
        </w:rPr>
        <w:t xml:space="preserve"> </w:t>
      </w:r>
    </w:p>
    <w:p w14:paraId="35510CA7" w14:textId="4AE66C42" w:rsidR="00C832A5" w:rsidRPr="00962853" w:rsidRDefault="00C832A5" w:rsidP="00370DC1">
      <w:pPr>
        <w:pStyle w:val="Heading2"/>
        <w:numPr>
          <w:ilvl w:val="1"/>
          <w:numId w:val="23"/>
        </w:numPr>
        <w:jc w:val="both"/>
        <w:rPr>
          <w:rFonts w:asciiTheme="minorHAnsi" w:hAnsiTheme="minorHAnsi" w:cstheme="minorHAnsi"/>
        </w:rPr>
      </w:pPr>
      <w:r w:rsidRPr="00962853">
        <w:rPr>
          <w:rFonts w:asciiTheme="minorHAnsi" w:hAnsiTheme="minorHAnsi" w:cstheme="minorHAnsi"/>
        </w:rPr>
        <w:t>Regist</w:t>
      </w:r>
      <w:r w:rsidR="0014602A">
        <w:rPr>
          <w:rFonts w:asciiTheme="minorHAnsi" w:hAnsiTheme="minorHAnsi" w:cstheme="minorHAnsi"/>
        </w:rPr>
        <w:t>ering the product in-country</w:t>
      </w:r>
    </w:p>
    <w:p w14:paraId="015F2E20" w14:textId="1A8EBF4C" w:rsidR="00C832A5" w:rsidRPr="00962853" w:rsidRDefault="1D346988" w:rsidP="1D346988">
      <w:pPr>
        <w:pStyle w:val="EndnoteText"/>
        <w:spacing w:line="276" w:lineRule="auto"/>
        <w:jc w:val="both"/>
        <w:rPr>
          <w:sz w:val="22"/>
          <w:szCs w:val="22"/>
        </w:rPr>
      </w:pPr>
      <w:r w:rsidRPr="1D346988">
        <w:rPr>
          <w:sz w:val="22"/>
          <w:szCs w:val="22"/>
        </w:rPr>
        <w:t xml:space="preserve">pDTG received its first tentative US FDA approval (through Viatris) in November 2020 </w:t>
      </w:r>
      <w:r w:rsidRPr="00E11D28">
        <w:rPr>
          <w:sz w:val="22"/>
          <w:szCs w:val="22"/>
        </w:rPr>
        <w:t>and second</w:t>
      </w:r>
      <w:r w:rsidR="00E11D28" w:rsidRPr="00E11D28">
        <w:rPr>
          <w:sz w:val="22"/>
          <w:szCs w:val="22"/>
        </w:rPr>
        <w:t xml:space="preserve"> approval</w:t>
      </w:r>
      <w:r w:rsidRPr="00E11D28">
        <w:rPr>
          <w:sz w:val="22"/>
          <w:szCs w:val="22"/>
        </w:rPr>
        <w:t xml:space="preserve"> through Macleods in March 2021.</w:t>
      </w:r>
      <w:r w:rsidRPr="1D346988">
        <w:rPr>
          <w:sz w:val="22"/>
          <w:szCs w:val="22"/>
        </w:rPr>
        <w:t xml:space="preserve"> </w:t>
      </w:r>
      <w:r w:rsidRPr="1D346988">
        <w:rPr>
          <w:i/>
          <w:iCs/>
          <w:sz w:val="22"/>
          <w:szCs w:val="22"/>
          <w:highlight w:val="yellow"/>
        </w:rPr>
        <w:t>[update with information on in-country registration status]</w:t>
      </w:r>
      <w:r w:rsidRPr="1D346988">
        <w:rPr>
          <w:sz w:val="22"/>
          <w:szCs w:val="22"/>
        </w:rPr>
        <w:t xml:space="preserve"> In-country product registration, clearance, and regulation will be continually monitored and are not expected to pose any challenges to introduction.</w:t>
      </w:r>
    </w:p>
    <w:p w14:paraId="3B7931BB" w14:textId="77777777" w:rsidR="00CC58F9" w:rsidRPr="00962853" w:rsidRDefault="00CC58F9" w:rsidP="00370DC1">
      <w:pPr>
        <w:pStyle w:val="EndnoteText"/>
        <w:spacing w:line="276" w:lineRule="auto"/>
        <w:jc w:val="both"/>
        <w:rPr>
          <w:rFonts w:cstheme="minorHAnsi"/>
          <w:sz w:val="22"/>
          <w:szCs w:val="22"/>
        </w:rPr>
      </w:pPr>
    </w:p>
    <w:p w14:paraId="33759DF0" w14:textId="1F1E721F" w:rsidR="00C67961" w:rsidRPr="00962853" w:rsidRDefault="00990C49" w:rsidP="00370DC1">
      <w:pPr>
        <w:pStyle w:val="Heading2"/>
        <w:numPr>
          <w:ilvl w:val="1"/>
          <w:numId w:val="23"/>
        </w:numPr>
        <w:jc w:val="both"/>
        <w:rPr>
          <w:rFonts w:asciiTheme="minorHAnsi" w:hAnsiTheme="minorHAnsi" w:cstheme="minorHAnsi"/>
        </w:rPr>
      </w:pPr>
      <w:r>
        <w:rPr>
          <w:rFonts w:asciiTheme="minorHAnsi" w:hAnsiTheme="minorHAnsi" w:cstheme="minorHAnsi"/>
        </w:rPr>
        <w:t xml:space="preserve">Monitoring </w:t>
      </w:r>
      <w:r w:rsidR="00C67961" w:rsidRPr="00962853">
        <w:rPr>
          <w:rFonts w:asciiTheme="minorHAnsi" w:hAnsiTheme="minorHAnsi" w:cstheme="minorHAnsi"/>
        </w:rPr>
        <w:t xml:space="preserve">International Regulatory and Manufacturing Capacity </w:t>
      </w:r>
    </w:p>
    <w:p w14:paraId="2A5779F0" w14:textId="7BECC234" w:rsidR="00243E9B" w:rsidRPr="00962853" w:rsidRDefault="00BD57E0" w:rsidP="00370DC1">
      <w:pPr>
        <w:pStyle w:val="EndnoteText"/>
        <w:spacing w:line="276" w:lineRule="auto"/>
        <w:jc w:val="both"/>
        <w:rPr>
          <w:rFonts w:cstheme="minorHAnsi"/>
          <w:i/>
          <w:iCs/>
          <w:sz w:val="22"/>
          <w:szCs w:val="22"/>
        </w:rPr>
      </w:pPr>
      <w:r w:rsidRPr="00962853">
        <w:rPr>
          <w:rFonts w:cstheme="minorHAnsi"/>
          <w:sz w:val="22"/>
          <w:szCs w:val="22"/>
        </w:rPr>
        <w:t xml:space="preserve">Given the large supply of DTG </w:t>
      </w:r>
      <w:r w:rsidR="000F256B">
        <w:rPr>
          <w:rFonts w:cstheme="minorHAnsi"/>
          <w:sz w:val="22"/>
          <w:szCs w:val="22"/>
        </w:rPr>
        <w:t>formulations for</w:t>
      </w:r>
      <w:r w:rsidRPr="00962853">
        <w:rPr>
          <w:rFonts w:cstheme="minorHAnsi"/>
          <w:sz w:val="22"/>
          <w:szCs w:val="22"/>
        </w:rPr>
        <w:t xml:space="preserve"> adults and the simplified product format</w:t>
      </w:r>
      <w:r w:rsidR="000F256B">
        <w:rPr>
          <w:rFonts w:cstheme="minorHAnsi"/>
          <w:sz w:val="22"/>
          <w:szCs w:val="22"/>
        </w:rPr>
        <w:t xml:space="preserve"> and manufacturing process</w:t>
      </w:r>
      <w:r w:rsidRPr="00962853">
        <w:rPr>
          <w:rFonts w:cstheme="minorHAnsi"/>
          <w:sz w:val="22"/>
          <w:szCs w:val="22"/>
        </w:rPr>
        <w:t xml:space="preserve"> in contrast to recent new </w:t>
      </w:r>
      <w:proofErr w:type="spellStart"/>
      <w:r w:rsidRPr="00962853">
        <w:rPr>
          <w:rFonts w:cstheme="minorHAnsi"/>
          <w:sz w:val="22"/>
          <w:szCs w:val="22"/>
        </w:rPr>
        <w:t>paediatric</w:t>
      </w:r>
      <w:proofErr w:type="spellEnd"/>
      <w:r w:rsidRPr="00962853">
        <w:rPr>
          <w:rFonts w:cstheme="minorHAnsi"/>
          <w:sz w:val="22"/>
          <w:szCs w:val="22"/>
        </w:rPr>
        <w:t xml:space="preserve"> products</w:t>
      </w:r>
      <w:r w:rsidR="000F256B">
        <w:rPr>
          <w:rFonts w:cstheme="minorHAnsi"/>
          <w:sz w:val="22"/>
          <w:szCs w:val="22"/>
        </w:rPr>
        <w:t xml:space="preserve"> such as LPV/r granules and pellets</w:t>
      </w:r>
      <w:r w:rsidRPr="00962853">
        <w:rPr>
          <w:rFonts w:cstheme="minorHAnsi"/>
          <w:sz w:val="22"/>
          <w:szCs w:val="22"/>
        </w:rPr>
        <w:t xml:space="preserve">, pDTG is </w:t>
      </w:r>
      <w:r w:rsidRPr="00C22B98">
        <w:rPr>
          <w:rFonts w:cstheme="minorHAnsi"/>
          <w:b/>
          <w:bCs/>
        </w:rPr>
        <w:t>not</w:t>
      </w:r>
      <w:r w:rsidRPr="00962853">
        <w:rPr>
          <w:rFonts w:cstheme="minorHAnsi"/>
          <w:sz w:val="22"/>
          <w:szCs w:val="22"/>
        </w:rPr>
        <w:t xml:space="preserve"> anticipated to encounter supply concerns.</w:t>
      </w:r>
      <w:r w:rsidR="00A7455C">
        <w:rPr>
          <w:rFonts w:cstheme="minorHAnsi"/>
          <w:sz w:val="22"/>
          <w:szCs w:val="22"/>
        </w:rPr>
        <w:t xml:space="preserve"> </w:t>
      </w:r>
      <w:r w:rsidR="000F256B">
        <w:rPr>
          <w:rFonts w:cstheme="minorHAnsi"/>
          <w:sz w:val="22"/>
          <w:szCs w:val="22"/>
        </w:rPr>
        <w:t xml:space="preserve">The </w:t>
      </w:r>
      <w:proofErr w:type="spellStart"/>
      <w:r w:rsidR="000F256B" w:rsidRPr="00A7455C">
        <w:rPr>
          <w:rFonts w:cstheme="minorHAnsi"/>
          <w:sz w:val="22"/>
          <w:szCs w:val="22"/>
        </w:rPr>
        <w:t>program</w:t>
      </w:r>
      <w:r w:rsidR="00C63F66">
        <w:rPr>
          <w:rFonts w:cstheme="minorHAnsi"/>
          <w:sz w:val="22"/>
          <w:szCs w:val="22"/>
        </w:rPr>
        <w:t>me</w:t>
      </w:r>
      <w:proofErr w:type="spellEnd"/>
      <w:r w:rsidR="000F256B" w:rsidRPr="00A7455C">
        <w:rPr>
          <w:rFonts w:cstheme="minorHAnsi"/>
          <w:sz w:val="22"/>
          <w:szCs w:val="22"/>
        </w:rPr>
        <w:t xml:space="preserve"> </w:t>
      </w:r>
      <w:r w:rsidR="000F256B">
        <w:rPr>
          <w:rFonts w:cstheme="minorHAnsi"/>
          <w:sz w:val="22"/>
          <w:szCs w:val="22"/>
        </w:rPr>
        <w:t xml:space="preserve">will </w:t>
      </w:r>
      <w:r w:rsidR="000F256B" w:rsidRPr="00A7455C">
        <w:rPr>
          <w:rFonts w:cstheme="minorHAnsi"/>
          <w:sz w:val="22"/>
          <w:szCs w:val="22"/>
        </w:rPr>
        <w:t>monitor market intelligence, such as updates from the Antiretroviral Procurement Working Group (</w:t>
      </w:r>
      <w:hyperlink r:id="rId16" w:history="1">
        <w:r w:rsidR="000F256B" w:rsidRPr="00E45B92">
          <w:rPr>
            <w:rStyle w:val="Hyperlink"/>
            <w:rFonts w:cstheme="minorHAnsi"/>
            <w:sz w:val="22"/>
            <w:szCs w:val="22"/>
          </w:rPr>
          <w:t>APWG</w:t>
        </w:r>
      </w:hyperlink>
      <w:r w:rsidR="000F256B" w:rsidRPr="00A7455C">
        <w:rPr>
          <w:rFonts w:cstheme="minorHAnsi"/>
          <w:sz w:val="22"/>
          <w:szCs w:val="22"/>
        </w:rPr>
        <w:t xml:space="preserve">), for any </w:t>
      </w:r>
      <w:r w:rsidR="000F256B">
        <w:rPr>
          <w:rFonts w:cstheme="minorHAnsi"/>
          <w:sz w:val="22"/>
          <w:szCs w:val="22"/>
        </w:rPr>
        <w:t>updates on</w:t>
      </w:r>
      <w:r w:rsidR="000F256B" w:rsidRPr="00A7455C">
        <w:rPr>
          <w:rFonts w:cstheme="minorHAnsi"/>
          <w:sz w:val="22"/>
          <w:szCs w:val="22"/>
        </w:rPr>
        <w:t xml:space="preserve"> </w:t>
      </w:r>
      <w:r w:rsidR="000F256B">
        <w:rPr>
          <w:rFonts w:cstheme="minorHAnsi"/>
          <w:sz w:val="22"/>
          <w:szCs w:val="22"/>
        </w:rPr>
        <w:t>the supply and delivery of pDTG.</w:t>
      </w:r>
    </w:p>
    <w:p w14:paraId="1AC34833" w14:textId="77777777" w:rsidR="000545B2" w:rsidRPr="00962853" w:rsidRDefault="000545B2" w:rsidP="00370DC1">
      <w:pPr>
        <w:pStyle w:val="EndnoteText"/>
        <w:spacing w:line="276" w:lineRule="auto"/>
        <w:jc w:val="both"/>
        <w:rPr>
          <w:rFonts w:cstheme="minorHAnsi"/>
          <w:sz w:val="22"/>
          <w:szCs w:val="22"/>
        </w:rPr>
      </w:pPr>
    </w:p>
    <w:p w14:paraId="50B58C97" w14:textId="5B41E4E1" w:rsidR="00C832A5" w:rsidRPr="00962853" w:rsidRDefault="00BD57E0" w:rsidP="00370DC1">
      <w:pPr>
        <w:pStyle w:val="Heading2"/>
        <w:numPr>
          <w:ilvl w:val="1"/>
          <w:numId w:val="23"/>
        </w:numPr>
        <w:jc w:val="both"/>
        <w:rPr>
          <w:rFonts w:asciiTheme="minorHAnsi" w:hAnsiTheme="minorHAnsi" w:cstheme="minorHAnsi"/>
        </w:rPr>
      </w:pPr>
      <w:r w:rsidRPr="00962853">
        <w:rPr>
          <w:rFonts w:asciiTheme="minorHAnsi" w:hAnsiTheme="minorHAnsi" w:cstheme="minorHAnsi"/>
        </w:rPr>
        <w:t>U</w:t>
      </w:r>
      <w:r w:rsidR="00D972CE" w:rsidRPr="00962853">
        <w:rPr>
          <w:rFonts w:asciiTheme="minorHAnsi" w:hAnsiTheme="minorHAnsi" w:cstheme="minorHAnsi"/>
        </w:rPr>
        <w:t xml:space="preserve">pdating </w:t>
      </w:r>
      <w:r w:rsidR="003568BC" w:rsidRPr="00962853">
        <w:rPr>
          <w:rFonts w:asciiTheme="minorHAnsi" w:hAnsiTheme="minorHAnsi" w:cstheme="minorHAnsi"/>
        </w:rPr>
        <w:t>M&amp;E t</w:t>
      </w:r>
      <w:r w:rsidR="00D972CE" w:rsidRPr="00962853">
        <w:rPr>
          <w:rFonts w:asciiTheme="minorHAnsi" w:hAnsiTheme="minorHAnsi" w:cstheme="minorHAnsi"/>
        </w:rPr>
        <w:t xml:space="preserve">ools </w:t>
      </w:r>
    </w:p>
    <w:p w14:paraId="5FDF624F" w14:textId="1C9AC068" w:rsidR="00D972CE" w:rsidRPr="00962853" w:rsidRDefault="00262053" w:rsidP="00370DC1">
      <w:pPr>
        <w:pStyle w:val="EndnoteText"/>
        <w:spacing w:line="276" w:lineRule="auto"/>
        <w:jc w:val="both"/>
        <w:rPr>
          <w:rFonts w:cstheme="minorHAnsi"/>
          <w:sz w:val="22"/>
          <w:szCs w:val="22"/>
        </w:rPr>
      </w:pPr>
      <w:r w:rsidRPr="00962853">
        <w:rPr>
          <w:rFonts w:cstheme="minorHAnsi"/>
          <w:sz w:val="22"/>
          <w:szCs w:val="22"/>
        </w:rPr>
        <w:t xml:space="preserve">The </w:t>
      </w:r>
      <w:r w:rsidR="003568BC" w:rsidRPr="00057C43">
        <w:rPr>
          <w:rFonts w:cstheme="minorHAnsi"/>
          <w:sz w:val="22"/>
          <w:szCs w:val="22"/>
          <w:highlight w:val="yellow"/>
        </w:rPr>
        <w:t>[</w:t>
      </w:r>
      <w:r w:rsidRPr="00057C43">
        <w:rPr>
          <w:rFonts w:cstheme="minorHAnsi"/>
          <w:sz w:val="22"/>
          <w:szCs w:val="22"/>
          <w:highlight w:val="yellow"/>
        </w:rPr>
        <w:t>o</w:t>
      </w:r>
      <w:r w:rsidR="00C832A5" w:rsidRPr="00057C43">
        <w:rPr>
          <w:rFonts w:cstheme="minorHAnsi"/>
          <w:sz w:val="22"/>
          <w:szCs w:val="22"/>
          <w:highlight w:val="yellow"/>
        </w:rPr>
        <w:t>rder form, dispensing logs</w:t>
      </w:r>
      <w:r w:rsidR="00813090" w:rsidRPr="00057C43">
        <w:rPr>
          <w:rFonts w:cstheme="minorHAnsi"/>
          <w:sz w:val="22"/>
          <w:szCs w:val="22"/>
          <w:highlight w:val="yellow"/>
        </w:rPr>
        <w:t>; list all M&amp;E tools that will be updated</w:t>
      </w:r>
      <w:r w:rsidR="003568BC" w:rsidRPr="00057C43">
        <w:rPr>
          <w:rFonts w:cstheme="minorHAnsi"/>
          <w:sz w:val="22"/>
          <w:szCs w:val="22"/>
          <w:highlight w:val="yellow"/>
        </w:rPr>
        <w:t>]</w:t>
      </w:r>
      <w:r w:rsidR="00C832A5" w:rsidRPr="00962853">
        <w:rPr>
          <w:rFonts w:cstheme="minorHAnsi"/>
          <w:sz w:val="22"/>
          <w:szCs w:val="22"/>
        </w:rPr>
        <w:t xml:space="preserve"> </w:t>
      </w:r>
      <w:r w:rsidR="003568BC" w:rsidRPr="00962853">
        <w:rPr>
          <w:rFonts w:cstheme="minorHAnsi"/>
          <w:sz w:val="22"/>
          <w:szCs w:val="22"/>
        </w:rPr>
        <w:t xml:space="preserve">will be </w:t>
      </w:r>
      <w:r w:rsidR="00582F84" w:rsidRPr="00962853">
        <w:rPr>
          <w:rFonts w:cstheme="minorHAnsi"/>
          <w:sz w:val="22"/>
          <w:szCs w:val="22"/>
        </w:rPr>
        <w:t>updated to include the new formulation.</w:t>
      </w:r>
      <w:r w:rsidR="00F031A4">
        <w:rPr>
          <w:rFonts w:cstheme="minorHAnsi"/>
          <w:sz w:val="22"/>
          <w:szCs w:val="22"/>
        </w:rPr>
        <w:t xml:space="preserve"> Training plans for </w:t>
      </w:r>
      <w:r w:rsidR="0015050B">
        <w:rPr>
          <w:rFonts w:cstheme="minorHAnsi"/>
          <w:sz w:val="22"/>
          <w:szCs w:val="22"/>
        </w:rPr>
        <w:t>s</w:t>
      </w:r>
      <w:r w:rsidR="00F031A4" w:rsidRPr="00F031A4">
        <w:rPr>
          <w:rFonts w:cstheme="minorHAnsi"/>
          <w:sz w:val="22"/>
          <w:szCs w:val="22"/>
        </w:rPr>
        <w:t xml:space="preserve">tock </w:t>
      </w:r>
      <w:r w:rsidR="0015050B">
        <w:rPr>
          <w:rFonts w:cstheme="minorHAnsi"/>
          <w:sz w:val="22"/>
          <w:szCs w:val="22"/>
        </w:rPr>
        <w:t>m</w:t>
      </w:r>
      <w:r w:rsidR="00F031A4" w:rsidRPr="00F031A4">
        <w:rPr>
          <w:rFonts w:cstheme="minorHAnsi"/>
          <w:sz w:val="22"/>
          <w:szCs w:val="22"/>
        </w:rPr>
        <w:t xml:space="preserve">anagement and </w:t>
      </w:r>
      <w:r w:rsidR="0015050B">
        <w:rPr>
          <w:rFonts w:cstheme="minorHAnsi"/>
          <w:sz w:val="22"/>
          <w:szCs w:val="22"/>
        </w:rPr>
        <w:t>o</w:t>
      </w:r>
      <w:r w:rsidR="00F031A4" w:rsidRPr="00F031A4">
        <w:rPr>
          <w:rFonts w:cstheme="minorHAnsi"/>
          <w:sz w:val="22"/>
          <w:szCs w:val="22"/>
        </w:rPr>
        <w:t>rdering</w:t>
      </w:r>
      <w:r w:rsidR="00F031A4">
        <w:rPr>
          <w:rFonts w:cstheme="minorHAnsi"/>
          <w:sz w:val="22"/>
          <w:szCs w:val="22"/>
        </w:rPr>
        <w:t xml:space="preserve"> are specified in Section 4. </w:t>
      </w:r>
    </w:p>
    <w:p w14:paraId="17CB484B" w14:textId="77777777" w:rsidR="00D972CE" w:rsidRPr="00962853" w:rsidRDefault="00D972CE" w:rsidP="00370DC1">
      <w:pPr>
        <w:pStyle w:val="EndnoteText"/>
        <w:spacing w:line="276" w:lineRule="auto"/>
        <w:jc w:val="both"/>
        <w:rPr>
          <w:rFonts w:cstheme="minorHAnsi"/>
          <w:sz w:val="22"/>
          <w:szCs w:val="22"/>
        </w:rPr>
      </w:pPr>
    </w:p>
    <w:p w14:paraId="6CA125AF" w14:textId="311486FD" w:rsidR="00462B64" w:rsidRPr="00962853" w:rsidRDefault="00D972CE" w:rsidP="00370DC1">
      <w:pPr>
        <w:pStyle w:val="EndnoteText"/>
        <w:spacing w:line="276" w:lineRule="auto"/>
        <w:jc w:val="both"/>
        <w:rPr>
          <w:rFonts w:cstheme="minorHAnsi"/>
          <w:sz w:val="22"/>
          <w:szCs w:val="22"/>
        </w:rPr>
      </w:pPr>
      <w:r w:rsidRPr="00962853">
        <w:rPr>
          <w:rFonts w:cstheme="minorHAnsi"/>
          <w:sz w:val="22"/>
          <w:szCs w:val="22"/>
        </w:rPr>
        <w:t xml:space="preserve">Patient </w:t>
      </w:r>
      <w:r w:rsidR="00A723C2">
        <w:rPr>
          <w:rFonts w:cstheme="minorHAnsi"/>
          <w:sz w:val="22"/>
          <w:szCs w:val="22"/>
        </w:rPr>
        <w:t>m</w:t>
      </w:r>
      <w:r w:rsidRPr="00962853">
        <w:rPr>
          <w:rFonts w:cstheme="minorHAnsi"/>
          <w:sz w:val="22"/>
          <w:szCs w:val="22"/>
        </w:rPr>
        <w:t xml:space="preserve">onitoring </w:t>
      </w:r>
      <w:r w:rsidR="00A723C2">
        <w:rPr>
          <w:rFonts w:cstheme="minorHAnsi"/>
          <w:sz w:val="22"/>
          <w:szCs w:val="22"/>
        </w:rPr>
        <w:t>t</w:t>
      </w:r>
      <w:r w:rsidRPr="00962853">
        <w:rPr>
          <w:rFonts w:cstheme="minorHAnsi"/>
          <w:sz w:val="22"/>
          <w:szCs w:val="22"/>
        </w:rPr>
        <w:t xml:space="preserve">ools </w:t>
      </w:r>
      <w:r w:rsidR="00DD4C61" w:rsidRPr="00962853">
        <w:rPr>
          <w:rFonts w:cstheme="minorHAnsi"/>
          <w:sz w:val="22"/>
          <w:szCs w:val="22"/>
        </w:rPr>
        <w:t xml:space="preserve">will also be </w:t>
      </w:r>
      <w:r w:rsidRPr="00962853">
        <w:rPr>
          <w:rFonts w:cstheme="minorHAnsi"/>
          <w:sz w:val="22"/>
          <w:szCs w:val="22"/>
        </w:rPr>
        <w:t xml:space="preserve">updated to include </w:t>
      </w:r>
      <w:r w:rsidR="00A723C2">
        <w:rPr>
          <w:rFonts w:cstheme="minorHAnsi"/>
          <w:sz w:val="22"/>
          <w:szCs w:val="22"/>
        </w:rPr>
        <w:t>p</w:t>
      </w:r>
      <w:r w:rsidRPr="00962853">
        <w:rPr>
          <w:rFonts w:cstheme="minorHAnsi"/>
          <w:sz w:val="22"/>
          <w:szCs w:val="22"/>
        </w:rPr>
        <w:t xml:space="preserve">DTG-based formulations to ensure visibility into </w:t>
      </w:r>
      <w:r w:rsidR="00DD4C61" w:rsidRPr="00962853">
        <w:rPr>
          <w:rFonts w:cstheme="minorHAnsi"/>
          <w:sz w:val="22"/>
          <w:szCs w:val="22"/>
        </w:rPr>
        <w:t>r</w:t>
      </w:r>
      <w:r w:rsidRPr="00962853">
        <w:rPr>
          <w:rFonts w:cstheme="minorHAnsi"/>
          <w:sz w:val="22"/>
          <w:szCs w:val="22"/>
        </w:rPr>
        <w:t>oll-</w:t>
      </w:r>
      <w:r w:rsidR="00DD4C61" w:rsidRPr="00962853">
        <w:rPr>
          <w:rFonts w:cstheme="minorHAnsi"/>
          <w:sz w:val="22"/>
          <w:szCs w:val="22"/>
        </w:rPr>
        <w:t>o</w:t>
      </w:r>
      <w:r w:rsidRPr="00962853">
        <w:rPr>
          <w:rFonts w:cstheme="minorHAnsi"/>
          <w:sz w:val="22"/>
          <w:szCs w:val="22"/>
        </w:rPr>
        <w:t>ut progress.</w:t>
      </w:r>
    </w:p>
    <w:p w14:paraId="17B3523E" w14:textId="4DE800A4" w:rsidR="00582F84" w:rsidRPr="007F5C54" w:rsidRDefault="00582F84" w:rsidP="00370DC1">
      <w:pPr>
        <w:pStyle w:val="Heading1"/>
        <w:numPr>
          <w:ilvl w:val="0"/>
          <w:numId w:val="23"/>
        </w:numPr>
        <w:jc w:val="both"/>
        <w:rPr>
          <w:rFonts w:asciiTheme="minorHAnsi" w:hAnsiTheme="minorHAnsi" w:cstheme="minorHAnsi"/>
        </w:rPr>
      </w:pPr>
      <w:r w:rsidRPr="007F5C54">
        <w:rPr>
          <w:rFonts w:asciiTheme="minorHAnsi" w:hAnsiTheme="minorHAnsi" w:cstheme="minorHAnsi"/>
        </w:rPr>
        <w:t>Forecasting, Quantification</w:t>
      </w:r>
      <w:r w:rsidR="008E08B3" w:rsidRPr="007F5C54">
        <w:rPr>
          <w:rFonts w:asciiTheme="minorHAnsi" w:hAnsiTheme="minorHAnsi" w:cstheme="minorHAnsi"/>
        </w:rPr>
        <w:t>,</w:t>
      </w:r>
      <w:r w:rsidRPr="007F5C54">
        <w:rPr>
          <w:rFonts w:asciiTheme="minorHAnsi" w:hAnsiTheme="minorHAnsi" w:cstheme="minorHAnsi"/>
        </w:rPr>
        <w:t xml:space="preserve"> and Procurement</w:t>
      </w:r>
    </w:p>
    <w:p w14:paraId="6213A52E" w14:textId="696639AF" w:rsidR="00582F84" w:rsidRPr="00962853" w:rsidRDefault="00582F84" w:rsidP="00370DC1">
      <w:pPr>
        <w:pStyle w:val="Heading2"/>
        <w:numPr>
          <w:ilvl w:val="1"/>
          <w:numId w:val="23"/>
        </w:numPr>
        <w:jc w:val="both"/>
        <w:rPr>
          <w:rFonts w:asciiTheme="minorHAnsi" w:hAnsiTheme="minorHAnsi" w:cstheme="minorHAnsi"/>
        </w:rPr>
      </w:pPr>
      <w:r w:rsidRPr="00962853">
        <w:rPr>
          <w:rFonts w:asciiTheme="minorHAnsi" w:hAnsiTheme="minorHAnsi" w:cstheme="minorHAnsi"/>
        </w:rPr>
        <w:t>Forecasting and Quantification</w:t>
      </w:r>
    </w:p>
    <w:p w14:paraId="26B4C49B" w14:textId="77D421AE" w:rsidR="0080209B" w:rsidRPr="00962853" w:rsidRDefault="00A32A62" w:rsidP="00370DC1">
      <w:pPr>
        <w:pStyle w:val="EndnoteText"/>
        <w:spacing w:line="276" w:lineRule="auto"/>
        <w:jc w:val="both"/>
        <w:rPr>
          <w:rFonts w:cstheme="minorHAnsi"/>
          <w:sz w:val="22"/>
          <w:szCs w:val="22"/>
        </w:rPr>
      </w:pPr>
      <w:r w:rsidRPr="004D7B65">
        <w:rPr>
          <w:rFonts w:cstheme="minorHAnsi"/>
          <w:i/>
          <w:iCs/>
          <w:sz w:val="22"/>
          <w:szCs w:val="22"/>
          <w:highlight w:val="yellow"/>
        </w:rPr>
        <w:t>[Insert summary of how the quantification was done</w:t>
      </w:r>
      <w:r w:rsidR="00524ECA" w:rsidRPr="004D7B65">
        <w:rPr>
          <w:rFonts w:cstheme="minorHAnsi"/>
          <w:i/>
          <w:iCs/>
          <w:sz w:val="22"/>
          <w:szCs w:val="22"/>
          <w:highlight w:val="yellow"/>
        </w:rPr>
        <w:t xml:space="preserve"> or will be done</w:t>
      </w:r>
      <w:r w:rsidRPr="004D7B65">
        <w:rPr>
          <w:rFonts w:cstheme="minorHAnsi"/>
          <w:i/>
          <w:iCs/>
          <w:sz w:val="22"/>
          <w:szCs w:val="22"/>
          <w:highlight w:val="yellow"/>
        </w:rPr>
        <w:t>, including all assumptions</w:t>
      </w:r>
      <w:r w:rsidR="0080209B" w:rsidRPr="004D7B65">
        <w:rPr>
          <w:rFonts w:cstheme="minorHAnsi"/>
          <w:i/>
          <w:iCs/>
          <w:sz w:val="22"/>
          <w:szCs w:val="22"/>
          <w:highlight w:val="yellow"/>
        </w:rPr>
        <w:t>; also provide update on orders placed</w:t>
      </w:r>
      <w:r w:rsidR="004D7B65">
        <w:rPr>
          <w:rFonts w:cstheme="minorHAnsi"/>
          <w:i/>
          <w:iCs/>
          <w:sz w:val="22"/>
          <w:szCs w:val="22"/>
          <w:highlight w:val="yellow"/>
        </w:rPr>
        <w:t xml:space="preserve">, </w:t>
      </w:r>
      <w:r w:rsidR="0080209B" w:rsidRPr="004D7B65">
        <w:rPr>
          <w:rFonts w:cstheme="minorHAnsi"/>
          <w:i/>
          <w:iCs/>
          <w:sz w:val="22"/>
          <w:szCs w:val="22"/>
          <w:highlight w:val="yellow"/>
        </w:rPr>
        <w:t>expected delivery dates</w:t>
      </w:r>
      <w:r w:rsidR="004D7B65">
        <w:rPr>
          <w:rFonts w:cstheme="minorHAnsi"/>
          <w:i/>
          <w:iCs/>
          <w:sz w:val="22"/>
          <w:szCs w:val="22"/>
          <w:highlight w:val="yellow"/>
        </w:rPr>
        <w:t>, and when pDTG volumes will be reviewed next</w:t>
      </w:r>
      <w:r w:rsidRPr="004D7B65">
        <w:rPr>
          <w:rFonts w:cstheme="minorHAnsi"/>
          <w:i/>
          <w:iCs/>
          <w:sz w:val="22"/>
          <w:szCs w:val="22"/>
          <w:highlight w:val="yellow"/>
        </w:rPr>
        <w:t>]</w:t>
      </w:r>
    </w:p>
    <w:p w14:paraId="07D74B2F" w14:textId="77777777" w:rsidR="0080209B" w:rsidRPr="00962853" w:rsidRDefault="0080209B" w:rsidP="00370DC1">
      <w:pPr>
        <w:pStyle w:val="EndnoteText"/>
        <w:spacing w:line="276" w:lineRule="auto"/>
        <w:jc w:val="both"/>
        <w:rPr>
          <w:rFonts w:cstheme="minorHAnsi"/>
          <w:sz w:val="22"/>
          <w:szCs w:val="22"/>
        </w:rPr>
      </w:pPr>
    </w:p>
    <w:p w14:paraId="7FE7418D" w14:textId="49E19E07" w:rsidR="00DB6144" w:rsidRPr="00962853" w:rsidRDefault="00AF7683" w:rsidP="00370DC1">
      <w:pPr>
        <w:pStyle w:val="EndnoteText"/>
        <w:spacing w:line="276" w:lineRule="auto"/>
        <w:jc w:val="both"/>
        <w:rPr>
          <w:rFonts w:cstheme="minorHAnsi"/>
          <w:sz w:val="22"/>
          <w:szCs w:val="22"/>
        </w:rPr>
      </w:pPr>
      <w:r w:rsidRPr="00962853">
        <w:rPr>
          <w:rFonts w:cstheme="minorHAnsi"/>
          <w:sz w:val="22"/>
          <w:szCs w:val="22"/>
        </w:rPr>
        <w:t xml:space="preserve">The </w:t>
      </w:r>
      <w:commentRangeStart w:id="5"/>
      <w:r w:rsidRPr="00962853">
        <w:rPr>
          <w:rFonts w:cstheme="minorHAnsi"/>
          <w:sz w:val="22"/>
          <w:szCs w:val="22"/>
        </w:rPr>
        <w:t xml:space="preserve">chart </w:t>
      </w:r>
      <w:commentRangeEnd w:id="5"/>
      <w:r w:rsidR="00A62E20">
        <w:rPr>
          <w:rStyle w:val="CommentReference"/>
        </w:rPr>
        <w:commentReference w:id="5"/>
      </w:r>
      <w:r w:rsidR="00AA102F" w:rsidRPr="00962853">
        <w:rPr>
          <w:rFonts w:cstheme="minorHAnsi"/>
          <w:sz w:val="22"/>
          <w:szCs w:val="22"/>
        </w:rPr>
        <w:t xml:space="preserve">below </w:t>
      </w:r>
      <w:r w:rsidRPr="00962853">
        <w:rPr>
          <w:rFonts w:cstheme="minorHAnsi"/>
          <w:sz w:val="22"/>
          <w:szCs w:val="22"/>
        </w:rPr>
        <w:t xml:space="preserve">provides a high-level overview of the national transition plan divided by public/private and phase </w:t>
      </w:r>
      <w:r w:rsidR="0043046F">
        <w:rPr>
          <w:rFonts w:cstheme="minorHAnsi"/>
          <w:sz w:val="22"/>
          <w:szCs w:val="22"/>
        </w:rPr>
        <w:t>I</w:t>
      </w:r>
      <w:r w:rsidRPr="00962853">
        <w:rPr>
          <w:rFonts w:cstheme="minorHAnsi"/>
          <w:sz w:val="22"/>
          <w:szCs w:val="22"/>
        </w:rPr>
        <w:t>/</w:t>
      </w:r>
      <w:r w:rsidR="0043046F">
        <w:rPr>
          <w:rFonts w:cstheme="minorHAnsi"/>
          <w:sz w:val="22"/>
          <w:szCs w:val="22"/>
        </w:rPr>
        <w:t xml:space="preserve"> </w:t>
      </w:r>
      <w:r w:rsidRPr="00962853">
        <w:rPr>
          <w:rFonts w:cstheme="minorHAnsi"/>
          <w:sz w:val="22"/>
          <w:szCs w:val="22"/>
        </w:rPr>
        <w:t xml:space="preserve">phase </w:t>
      </w:r>
      <w:r w:rsidR="0043046F">
        <w:rPr>
          <w:rFonts w:cstheme="minorHAnsi"/>
          <w:sz w:val="22"/>
          <w:szCs w:val="22"/>
        </w:rPr>
        <w:t>II</w:t>
      </w:r>
      <w:r w:rsidRPr="00962853">
        <w:rPr>
          <w:rFonts w:cstheme="minorHAnsi"/>
          <w:sz w:val="22"/>
          <w:szCs w:val="22"/>
        </w:rPr>
        <w:t>.</w:t>
      </w:r>
    </w:p>
    <w:p w14:paraId="65CAB6DB" w14:textId="77777777" w:rsidR="00582F84" w:rsidRPr="00962853" w:rsidRDefault="00582F84" w:rsidP="00370DC1">
      <w:pPr>
        <w:pStyle w:val="EndnoteText"/>
        <w:spacing w:line="276" w:lineRule="auto"/>
        <w:jc w:val="both"/>
        <w:rPr>
          <w:rFonts w:cstheme="minorHAnsi"/>
          <w:sz w:val="22"/>
          <w:szCs w:val="22"/>
        </w:rPr>
      </w:pPr>
    </w:p>
    <w:tbl>
      <w:tblPr>
        <w:tblStyle w:val="TableGrid"/>
        <w:tblW w:w="0" w:type="auto"/>
        <w:tblLook w:val="04A0" w:firstRow="1" w:lastRow="0" w:firstColumn="1" w:lastColumn="0" w:noHBand="0" w:noVBand="1"/>
      </w:tblPr>
      <w:tblGrid>
        <w:gridCol w:w="9350"/>
      </w:tblGrid>
      <w:tr w:rsidR="009B0E41" w:rsidRPr="001254D5" w14:paraId="232B823E" w14:textId="77777777" w:rsidTr="009B0E41">
        <w:tc>
          <w:tcPr>
            <w:tcW w:w="9340" w:type="dxa"/>
            <w:shd w:val="clear" w:color="auto" w:fill="BFBFBF" w:themeFill="background1" w:themeFillShade="BF"/>
          </w:tcPr>
          <w:p w14:paraId="2CD5DA7C" w14:textId="201D107E" w:rsidR="009B0E41" w:rsidRPr="001254D5" w:rsidRDefault="009B0E41" w:rsidP="00370DC1">
            <w:pPr>
              <w:pStyle w:val="EndnoteText"/>
              <w:spacing w:line="276" w:lineRule="auto"/>
              <w:jc w:val="both"/>
              <w:rPr>
                <w:rFonts w:cstheme="minorHAnsi"/>
                <w:b/>
                <w:i/>
                <w:iCs/>
                <w:sz w:val="22"/>
                <w:szCs w:val="22"/>
              </w:rPr>
            </w:pPr>
            <w:r w:rsidRPr="001254D5">
              <w:rPr>
                <w:rFonts w:cstheme="minorHAnsi"/>
                <w:b/>
                <w:i/>
                <w:iCs/>
                <w:sz w:val="22"/>
                <w:szCs w:val="22"/>
              </w:rPr>
              <w:t xml:space="preserve">Table </w:t>
            </w:r>
            <w:r w:rsidR="003D0A76">
              <w:rPr>
                <w:rFonts w:cstheme="minorHAnsi"/>
                <w:b/>
                <w:i/>
                <w:iCs/>
                <w:sz w:val="22"/>
                <w:szCs w:val="22"/>
              </w:rPr>
              <w:t>5</w:t>
            </w:r>
            <w:r w:rsidRPr="001254D5">
              <w:rPr>
                <w:rFonts w:cstheme="minorHAnsi"/>
                <w:b/>
                <w:i/>
                <w:iCs/>
                <w:sz w:val="22"/>
                <w:szCs w:val="22"/>
              </w:rPr>
              <w:t xml:space="preserve">: National Roll-Out </w:t>
            </w:r>
            <w:r w:rsidR="00AF7683" w:rsidRPr="001254D5">
              <w:rPr>
                <w:rFonts w:cstheme="minorHAnsi"/>
                <w:b/>
                <w:i/>
                <w:iCs/>
                <w:sz w:val="22"/>
                <w:szCs w:val="22"/>
              </w:rPr>
              <w:t>High-Level Summary</w:t>
            </w:r>
            <w:r w:rsidR="00E9120F" w:rsidRPr="001254D5">
              <w:rPr>
                <w:rFonts w:cstheme="minorHAnsi"/>
                <w:b/>
                <w:i/>
                <w:iCs/>
                <w:sz w:val="22"/>
                <w:szCs w:val="22"/>
              </w:rPr>
              <w:t xml:space="preserve"> at Facility-Level for Patients</w:t>
            </w:r>
          </w:p>
        </w:tc>
      </w:tr>
      <w:tr w:rsidR="009B0E41" w:rsidRPr="001254D5" w14:paraId="2395E72E" w14:textId="77777777" w:rsidTr="009B0E41">
        <w:tc>
          <w:tcPr>
            <w:tcW w:w="9340" w:type="dxa"/>
          </w:tcPr>
          <w:p w14:paraId="57304B08" w14:textId="77777777" w:rsidR="009B0E41" w:rsidRPr="001254D5" w:rsidRDefault="009B0E41" w:rsidP="00370DC1">
            <w:pPr>
              <w:pStyle w:val="EndnoteText"/>
              <w:spacing w:line="276" w:lineRule="auto"/>
              <w:jc w:val="both"/>
              <w:rPr>
                <w:rFonts w:cstheme="minorHAnsi"/>
                <w:i/>
                <w:iCs/>
                <w:noProof/>
              </w:rPr>
            </w:pPr>
          </w:p>
          <w:p w14:paraId="15E5951B" w14:textId="2C2089A0" w:rsidR="00AF7683" w:rsidRPr="007D5543" w:rsidRDefault="00A26F16" w:rsidP="00370DC1">
            <w:pPr>
              <w:pStyle w:val="EndnoteText"/>
              <w:spacing w:line="276" w:lineRule="auto"/>
              <w:jc w:val="both"/>
              <w:rPr>
                <w:rFonts w:cstheme="minorHAnsi"/>
                <w:i/>
                <w:iCs/>
                <w:noProof/>
              </w:rPr>
            </w:pPr>
            <w:r>
              <w:rPr>
                <w:noProof/>
              </w:rPr>
              <w:lastRenderedPageBreak/>
              <w:t xml:space="preserve"> </w:t>
            </w:r>
            <w:r w:rsidRPr="00A26F16">
              <w:rPr>
                <w:rFonts w:cstheme="minorHAnsi"/>
                <w:i/>
                <w:iCs/>
                <w:noProof/>
              </w:rPr>
              <w:drawing>
                <wp:inline distT="0" distB="0" distL="0" distR="0" wp14:anchorId="7E1D128A" wp14:editId="3C5D3A0F">
                  <wp:extent cx="5943600" cy="25628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2562860"/>
                          </a:xfrm>
                          <a:prstGeom prst="rect">
                            <a:avLst/>
                          </a:prstGeom>
                        </pic:spPr>
                      </pic:pic>
                    </a:graphicData>
                  </a:graphic>
                </wp:inline>
              </w:drawing>
            </w:r>
          </w:p>
        </w:tc>
      </w:tr>
    </w:tbl>
    <w:p w14:paraId="6AD928E9" w14:textId="77777777" w:rsidR="00450BFA" w:rsidRPr="003D0A76" w:rsidRDefault="00450BFA" w:rsidP="00370DC1">
      <w:pPr>
        <w:pStyle w:val="EndnoteText"/>
        <w:spacing w:line="276" w:lineRule="auto"/>
        <w:jc w:val="both"/>
        <w:rPr>
          <w:rFonts w:cstheme="minorHAnsi"/>
          <w:sz w:val="22"/>
          <w:szCs w:val="22"/>
          <w:lang w:val="en-GB"/>
        </w:rPr>
      </w:pPr>
    </w:p>
    <w:p w14:paraId="51DC9921" w14:textId="793D9DD1" w:rsidR="00582F84" w:rsidRPr="00962853" w:rsidRDefault="00B04E31" w:rsidP="00370DC1">
      <w:pPr>
        <w:pStyle w:val="Heading2"/>
        <w:numPr>
          <w:ilvl w:val="1"/>
          <w:numId w:val="23"/>
        </w:numPr>
        <w:jc w:val="both"/>
        <w:rPr>
          <w:rFonts w:asciiTheme="minorHAnsi" w:hAnsiTheme="minorHAnsi" w:cstheme="minorHAnsi"/>
        </w:rPr>
      </w:pPr>
      <w:r w:rsidRPr="00962853">
        <w:rPr>
          <w:rFonts w:asciiTheme="minorHAnsi" w:hAnsiTheme="minorHAnsi" w:cstheme="minorHAnsi"/>
        </w:rPr>
        <w:t>Transition P</w:t>
      </w:r>
      <w:r w:rsidR="00582F84" w:rsidRPr="00962853">
        <w:rPr>
          <w:rFonts w:asciiTheme="minorHAnsi" w:hAnsiTheme="minorHAnsi" w:cstheme="minorHAnsi"/>
        </w:rPr>
        <w:t xml:space="preserve">lan </w:t>
      </w:r>
    </w:p>
    <w:p w14:paraId="4FC73725" w14:textId="77777777" w:rsidR="00C65D7E" w:rsidRPr="00962853" w:rsidRDefault="00C65D7E" w:rsidP="00C65D7E">
      <w:pPr>
        <w:pStyle w:val="Heading3"/>
        <w:numPr>
          <w:ilvl w:val="2"/>
          <w:numId w:val="23"/>
        </w:numPr>
        <w:jc w:val="both"/>
        <w:rPr>
          <w:rFonts w:asciiTheme="minorHAnsi" w:hAnsiTheme="minorHAnsi" w:cstheme="minorHAnsi"/>
        </w:rPr>
      </w:pPr>
      <w:r w:rsidRPr="00962853">
        <w:rPr>
          <w:rFonts w:asciiTheme="minorHAnsi" w:hAnsiTheme="minorHAnsi" w:cstheme="minorHAnsi"/>
        </w:rPr>
        <w:t>Current Stock on Hand and Pipeline</w:t>
      </w:r>
    </w:p>
    <w:p w14:paraId="2573350F" w14:textId="7BCADFF2" w:rsidR="00C65D7E" w:rsidRDefault="00C65D7E" w:rsidP="00C65D7E">
      <w:pPr>
        <w:pStyle w:val="EndnoteText"/>
        <w:spacing w:line="276" w:lineRule="auto"/>
        <w:jc w:val="both"/>
        <w:rPr>
          <w:rFonts w:cstheme="minorHAnsi"/>
          <w:bCs/>
          <w:i/>
          <w:iCs/>
          <w:sz w:val="22"/>
          <w:szCs w:val="22"/>
        </w:rPr>
      </w:pPr>
      <w:r w:rsidRPr="002B7919">
        <w:rPr>
          <w:rFonts w:cstheme="minorHAnsi"/>
          <w:bCs/>
          <w:i/>
          <w:iCs/>
          <w:sz w:val="22"/>
          <w:szCs w:val="22"/>
          <w:highlight w:val="yellow"/>
        </w:rPr>
        <w:t>[summarize SOH and pipeline of legacy regimens and pDTG]</w:t>
      </w:r>
      <w:r>
        <w:rPr>
          <w:rFonts w:cstheme="minorHAnsi"/>
          <w:bCs/>
          <w:i/>
          <w:iCs/>
          <w:sz w:val="22"/>
          <w:szCs w:val="22"/>
        </w:rPr>
        <w:t xml:space="preserve"> </w:t>
      </w:r>
    </w:p>
    <w:p w14:paraId="30FE3B21" w14:textId="77777777" w:rsidR="00C65D7E" w:rsidRPr="008E048A" w:rsidRDefault="00C65D7E" w:rsidP="008E048A">
      <w:pPr>
        <w:pStyle w:val="EndnoteText"/>
        <w:spacing w:line="276" w:lineRule="auto"/>
        <w:jc w:val="both"/>
        <w:rPr>
          <w:rFonts w:cstheme="minorHAnsi"/>
          <w:bCs/>
          <w:sz w:val="22"/>
          <w:szCs w:val="22"/>
        </w:rPr>
      </w:pPr>
    </w:p>
    <w:p w14:paraId="625B2F3E" w14:textId="31F1D488" w:rsidR="00B04E31" w:rsidRPr="00962853" w:rsidRDefault="00B04E31" w:rsidP="00370DC1">
      <w:pPr>
        <w:pStyle w:val="Heading3"/>
        <w:numPr>
          <w:ilvl w:val="2"/>
          <w:numId w:val="23"/>
        </w:numPr>
        <w:jc w:val="both"/>
        <w:rPr>
          <w:rFonts w:asciiTheme="minorHAnsi" w:hAnsiTheme="minorHAnsi" w:cstheme="minorHAnsi"/>
        </w:rPr>
      </w:pPr>
      <w:r w:rsidRPr="00962853">
        <w:rPr>
          <w:rFonts w:asciiTheme="minorHAnsi" w:hAnsiTheme="minorHAnsi" w:cstheme="minorHAnsi"/>
        </w:rPr>
        <w:t>Transition of Existing Patients</w:t>
      </w:r>
    </w:p>
    <w:p w14:paraId="37A48729" w14:textId="3DE208C3" w:rsidR="007758F6" w:rsidRDefault="00D46F25" w:rsidP="007758F6">
      <w:pPr>
        <w:pStyle w:val="EndnoteText"/>
        <w:spacing w:line="276" w:lineRule="auto"/>
        <w:jc w:val="both"/>
        <w:rPr>
          <w:rFonts w:cstheme="minorHAnsi"/>
          <w:bCs/>
          <w:sz w:val="22"/>
          <w:szCs w:val="22"/>
        </w:rPr>
      </w:pPr>
      <w:r w:rsidRPr="003610AC">
        <w:rPr>
          <w:rFonts w:cstheme="minorHAnsi"/>
          <w:bCs/>
          <w:i/>
          <w:iCs/>
          <w:sz w:val="22"/>
          <w:szCs w:val="22"/>
          <w:highlight w:val="yellow"/>
        </w:rPr>
        <w:t>[specify transition strategy for existing patients</w:t>
      </w:r>
      <w:r w:rsidR="002E7A75">
        <w:rPr>
          <w:rFonts w:cstheme="minorHAnsi"/>
          <w:bCs/>
          <w:i/>
          <w:iCs/>
          <w:sz w:val="22"/>
          <w:szCs w:val="22"/>
        </w:rPr>
        <w:t>—</w:t>
      </w:r>
      <w:r w:rsidR="007758F6" w:rsidRPr="007758F6">
        <w:rPr>
          <w:rFonts w:cstheme="minorHAnsi"/>
          <w:bCs/>
          <w:sz w:val="22"/>
          <w:szCs w:val="22"/>
        </w:rPr>
        <w:t xml:space="preserve">Given the significant benefits of pDTG, the WHO recommends that all existing </w:t>
      </w:r>
      <w:r w:rsidR="007758F6" w:rsidRPr="007758F6">
        <w:rPr>
          <w:rFonts w:cstheme="minorHAnsi"/>
          <w:bCs/>
          <w:sz w:val="22"/>
          <w:szCs w:val="22"/>
        </w:rPr>
        <w:t xml:space="preserve">stable children and children failing treatment </w:t>
      </w:r>
      <w:r w:rsidR="007758F6" w:rsidRPr="007758F6">
        <w:rPr>
          <w:rFonts w:cstheme="minorHAnsi"/>
          <w:bCs/>
          <w:sz w:val="22"/>
          <w:szCs w:val="22"/>
        </w:rPr>
        <w:t>over 4 weeks of age and who weigh 3 to &lt;20 kg be transitioned to pDTG. While some children may be stable on their current regimen, pDTG’s substantial clinical and administrative benefits over other existing regimens mandates stable children be transitioned to pDTG (in the absence of any known contraindications).</w:t>
      </w:r>
      <w:r w:rsidR="007758F6" w:rsidRPr="007758F6">
        <w:rPr>
          <w:rFonts w:cstheme="minorHAnsi"/>
          <w:bCs/>
          <w:sz w:val="22"/>
          <w:szCs w:val="22"/>
        </w:rPr>
        <w:t xml:space="preserve"> </w:t>
      </w:r>
      <w:r w:rsidR="007758F6" w:rsidRPr="007758F6">
        <w:rPr>
          <w:rFonts w:cstheme="minorHAnsi"/>
          <w:bCs/>
          <w:sz w:val="22"/>
          <w:szCs w:val="22"/>
        </w:rPr>
        <w:t xml:space="preserve">Similarly, children over 4 weeks of age and who weigh 3 to &lt;20 kg who are unstable on their current regimen should be transitioned to pDTG. pDTG is recommended as part of </w:t>
      </w:r>
      <w:proofErr w:type="gramStart"/>
      <w:r w:rsidR="007758F6" w:rsidRPr="007758F6">
        <w:rPr>
          <w:rFonts w:cstheme="minorHAnsi"/>
          <w:bCs/>
          <w:sz w:val="22"/>
          <w:szCs w:val="22"/>
        </w:rPr>
        <w:t>second-line</w:t>
      </w:r>
      <w:proofErr w:type="gramEnd"/>
      <w:r w:rsidR="007758F6" w:rsidRPr="007758F6">
        <w:rPr>
          <w:rFonts w:cstheme="minorHAnsi"/>
          <w:bCs/>
          <w:sz w:val="22"/>
          <w:szCs w:val="22"/>
        </w:rPr>
        <w:t xml:space="preserve"> and third-line regimens and thus children with elevated viral loads can be safely transitioned to pDTG.</w:t>
      </w:r>
      <w:r w:rsidR="007758F6" w:rsidRPr="007758F6">
        <w:rPr>
          <w:rFonts w:cstheme="minorHAnsi"/>
          <w:bCs/>
          <w:sz w:val="22"/>
          <w:szCs w:val="22"/>
        </w:rPr>
        <w:t xml:space="preserve"> </w:t>
      </w:r>
      <w:r w:rsidR="007758F6">
        <w:rPr>
          <w:rFonts w:cstheme="minorHAnsi"/>
          <w:bCs/>
          <w:sz w:val="22"/>
          <w:szCs w:val="22"/>
        </w:rPr>
        <w:br/>
      </w:r>
      <w:r w:rsidR="007758F6">
        <w:rPr>
          <w:rFonts w:cstheme="minorHAnsi"/>
          <w:bCs/>
          <w:sz w:val="22"/>
          <w:szCs w:val="22"/>
        </w:rPr>
        <w:br/>
      </w:r>
      <w:r w:rsidR="007758F6" w:rsidRPr="007758F6">
        <w:rPr>
          <w:rFonts w:cstheme="minorHAnsi"/>
          <w:bCs/>
          <w:sz w:val="22"/>
          <w:szCs w:val="22"/>
        </w:rPr>
        <w:t>Routine viral load monitoring is encouraged as a good practice in the care of patients on ART in accordance with WHO recommendations. However, viral load testing should not be a requirement for transitioning to any optimal regimen. All children over 4 weeks and who weigh 3 to &lt;20 kg should be transitioned to pDTG irrespective of viral load status</w:t>
      </w:r>
      <w:r w:rsidR="007758F6" w:rsidRPr="007758F6">
        <w:rPr>
          <w:rFonts w:cstheme="minorHAnsi"/>
          <w:bCs/>
          <w:i/>
          <w:iCs/>
          <w:sz w:val="22"/>
          <w:szCs w:val="22"/>
        </w:rPr>
        <w:t>.</w:t>
      </w:r>
      <w:r w:rsidR="00334907">
        <w:rPr>
          <w:rFonts w:cstheme="minorHAnsi"/>
          <w:bCs/>
          <w:sz w:val="22"/>
          <w:szCs w:val="22"/>
        </w:rPr>
        <w:t xml:space="preserve"> </w:t>
      </w:r>
      <w:r w:rsidR="007758F6">
        <w:rPr>
          <w:rFonts w:cstheme="minorHAnsi"/>
          <w:bCs/>
          <w:sz w:val="22"/>
          <w:szCs w:val="22"/>
        </w:rPr>
        <w:br/>
      </w:r>
    </w:p>
    <w:p w14:paraId="30F54C65" w14:textId="68950317" w:rsidR="0070220A" w:rsidRPr="007758F6" w:rsidRDefault="007758F6" w:rsidP="007758F6">
      <w:pPr>
        <w:pStyle w:val="EndnoteText"/>
        <w:spacing w:line="276" w:lineRule="auto"/>
        <w:jc w:val="both"/>
        <w:rPr>
          <w:rFonts w:cstheme="minorHAnsi"/>
          <w:bCs/>
          <w:i/>
          <w:iCs/>
          <w:sz w:val="22"/>
          <w:szCs w:val="22"/>
        </w:rPr>
      </w:pPr>
      <w:r>
        <w:rPr>
          <w:rFonts w:cstheme="minorHAnsi"/>
          <w:bCs/>
          <w:sz w:val="22"/>
          <w:szCs w:val="22"/>
        </w:rPr>
        <w:t>[</w:t>
      </w:r>
      <w:r w:rsidR="00334907">
        <w:rPr>
          <w:rFonts w:cstheme="minorHAnsi"/>
          <w:bCs/>
          <w:i/>
          <w:iCs/>
          <w:sz w:val="22"/>
          <w:szCs w:val="22"/>
          <w:highlight w:val="yellow"/>
        </w:rPr>
        <w:t xml:space="preserve">categorically mention if there is a separate strategy for stable </w:t>
      </w:r>
      <w:proofErr w:type="gramStart"/>
      <w:r w:rsidR="00334907">
        <w:rPr>
          <w:rFonts w:cstheme="minorHAnsi"/>
          <w:bCs/>
          <w:i/>
          <w:iCs/>
          <w:sz w:val="22"/>
          <w:szCs w:val="22"/>
          <w:highlight w:val="yellow"/>
        </w:rPr>
        <w:t>patients</w:t>
      </w:r>
      <w:proofErr w:type="gramEnd"/>
      <w:r w:rsidR="00334907">
        <w:rPr>
          <w:rFonts w:cstheme="minorHAnsi"/>
          <w:bCs/>
          <w:i/>
          <w:iCs/>
          <w:sz w:val="22"/>
          <w:szCs w:val="22"/>
          <w:highlight w:val="yellow"/>
        </w:rPr>
        <w:t xml:space="preserve"> vs those failing treatment</w:t>
      </w:r>
      <w:r w:rsidR="002E7A75">
        <w:rPr>
          <w:rFonts w:cstheme="minorHAnsi"/>
          <w:bCs/>
          <w:sz w:val="22"/>
          <w:szCs w:val="22"/>
        </w:rPr>
        <w:t>]</w:t>
      </w:r>
    </w:p>
    <w:p w14:paraId="6CF4BFF1" w14:textId="77777777" w:rsidR="00962853" w:rsidRPr="00962853" w:rsidRDefault="00962853" w:rsidP="00370DC1">
      <w:pPr>
        <w:pStyle w:val="EndnoteText"/>
        <w:spacing w:line="276" w:lineRule="auto"/>
        <w:jc w:val="both"/>
        <w:rPr>
          <w:rFonts w:cstheme="minorHAnsi"/>
          <w:bCs/>
          <w:sz w:val="22"/>
          <w:szCs w:val="22"/>
        </w:rPr>
      </w:pPr>
    </w:p>
    <w:p w14:paraId="5F303FFA" w14:textId="70730CC2" w:rsidR="000E624C" w:rsidRPr="00962853" w:rsidRDefault="000E624C" w:rsidP="00370DC1">
      <w:pPr>
        <w:pStyle w:val="EndnoteText"/>
        <w:spacing w:line="276" w:lineRule="auto"/>
        <w:jc w:val="both"/>
        <w:rPr>
          <w:rFonts w:cstheme="minorHAnsi"/>
          <w:bCs/>
          <w:sz w:val="22"/>
          <w:szCs w:val="22"/>
        </w:rPr>
      </w:pPr>
      <w:r w:rsidRPr="00962853">
        <w:rPr>
          <w:rFonts w:cstheme="minorHAnsi"/>
          <w:bCs/>
          <w:sz w:val="22"/>
          <w:szCs w:val="22"/>
        </w:rPr>
        <w:t xml:space="preserve">Starting </w:t>
      </w:r>
      <w:r w:rsidR="004C1901" w:rsidRPr="004C1901">
        <w:rPr>
          <w:rFonts w:cstheme="minorHAnsi"/>
          <w:bCs/>
          <w:i/>
          <w:iCs/>
          <w:sz w:val="22"/>
          <w:szCs w:val="22"/>
          <w:highlight w:val="yellow"/>
        </w:rPr>
        <w:t xml:space="preserve">[insert relevant month </w:t>
      </w:r>
      <w:r w:rsidR="000F256B">
        <w:rPr>
          <w:rFonts w:cstheme="minorHAnsi"/>
          <w:bCs/>
          <w:i/>
          <w:iCs/>
          <w:sz w:val="22"/>
          <w:szCs w:val="22"/>
          <w:highlight w:val="yellow"/>
        </w:rPr>
        <w:t xml:space="preserve">and year </w:t>
      </w:r>
      <w:r w:rsidR="004C1901" w:rsidRPr="004C1901">
        <w:rPr>
          <w:rFonts w:cstheme="minorHAnsi"/>
          <w:bCs/>
          <w:i/>
          <w:iCs/>
          <w:sz w:val="22"/>
          <w:szCs w:val="22"/>
          <w:highlight w:val="yellow"/>
        </w:rPr>
        <w:t>here]</w:t>
      </w:r>
      <w:r w:rsidR="003D0A76">
        <w:rPr>
          <w:rFonts w:cstheme="minorHAnsi"/>
          <w:bCs/>
          <w:sz w:val="22"/>
          <w:szCs w:val="22"/>
        </w:rPr>
        <w:t xml:space="preserve">, </w:t>
      </w:r>
      <w:r w:rsidRPr="00962853">
        <w:rPr>
          <w:rFonts w:cstheme="minorHAnsi"/>
          <w:bCs/>
          <w:sz w:val="22"/>
          <w:szCs w:val="22"/>
        </w:rPr>
        <w:t xml:space="preserve">eligible existing </w:t>
      </w:r>
      <w:r w:rsidR="003D0A76">
        <w:rPr>
          <w:rFonts w:cstheme="minorHAnsi"/>
          <w:bCs/>
          <w:sz w:val="22"/>
          <w:szCs w:val="22"/>
        </w:rPr>
        <w:t xml:space="preserve">CLHIV </w:t>
      </w:r>
      <w:r w:rsidRPr="00962853">
        <w:rPr>
          <w:rFonts w:cstheme="minorHAnsi"/>
          <w:bCs/>
          <w:sz w:val="22"/>
          <w:szCs w:val="22"/>
        </w:rPr>
        <w:t xml:space="preserve">on non-optimal regimens </w:t>
      </w:r>
      <w:r w:rsidR="00090555" w:rsidRPr="004C1901">
        <w:rPr>
          <w:rFonts w:cstheme="minorHAnsi"/>
          <w:bCs/>
          <w:i/>
          <w:iCs/>
          <w:sz w:val="22"/>
          <w:szCs w:val="22"/>
          <w:highlight w:val="yellow"/>
        </w:rPr>
        <w:t xml:space="preserve">[insert relevant </w:t>
      </w:r>
      <w:r w:rsidR="00090555">
        <w:rPr>
          <w:rFonts w:cstheme="minorHAnsi"/>
          <w:bCs/>
          <w:i/>
          <w:iCs/>
          <w:sz w:val="22"/>
          <w:szCs w:val="22"/>
          <w:highlight w:val="yellow"/>
        </w:rPr>
        <w:t>patient category</w:t>
      </w:r>
      <w:r w:rsidR="008944BD">
        <w:rPr>
          <w:rFonts w:cstheme="minorHAnsi"/>
          <w:bCs/>
          <w:i/>
          <w:iCs/>
          <w:sz w:val="22"/>
          <w:szCs w:val="22"/>
          <w:highlight w:val="yellow"/>
        </w:rPr>
        <w:t xml:space="preserve"> here</w:t>
      </w:r>
      <w:r w:rsidR="00090555" w:rsidRPr="004C1901">
        <w:rPr>
          <w:rFonts w:cstheme="minorHAnsi"/>
          <w:bCs/>
          <w:i/>
          <w:iCs/>
          <w:sz w:val="22"/>
          <w:szCs w:val="22"/>
          <w:highlight w:val="yellow"/>
        </w:rPr>
        <w:t>]</w:t>
      </w:r>
      <w:r w:rsidR="00090555">
        <w:rPr>
          <w:rFonts w:cstheme="minorHAnsi"/>
          <w:bCs/>
          <w:i/>
          <w:iCs/>
          <w:sz w:val="22"/>
          <w:szCs w:val="22"/>
        </w:rPr>
        <w:t xml:space="preserve"> </w:t>
      </w:r>
      <w:r w:rsidRPr="00962853">
        <w:rPr>
          <w:rFonts w:cstheme="minorHAnsi"/>
          <w:bCs/>
          <w:sz w:val="22"/>
          <w:szCs w:val="22"/>
        </w:rPr>
        <w:t xml:space="preserve">will begin a phased </w:t>
      </w:r>
      <w:r w:rsidR="00980F9E" w:rsidRPr="00962853">
        <w:rPr>
          <w:rFonts w:cstheme="minorHAnsi"/>
          <w:bCs/>
          <w:sz w:val="22"/>
          <w:szCs w:val="22"/>
        </w:rPr>
        <w:t>substitution</w:t>
      </w:r>
      <w:r w:rsidRPr="00962853">
        <w:rPr>
          <w:rFonts w:cstheme="minorHAnsi"/>
          <w:bCs/>
          <w:sz w:val="22"/>
          <w:szCs w:val="22"/>
        </w:rPr>
        <w:t xml:space="preserve"> onto a </w:t>
      </w:r>
      <w:r w:rsidR="003D0A76">
        <w:rPr>
          <w:rFonts w:cstheme="minorHAnsi"/>
          <w:bCs/>
          <w:sz w:val="22"/>
          <w:szCs w:val="22"/>
        </w:rPr>
        <w:t>p</w:t>
      </w:r>
      <w:r w:rsidRPr="00962853">
        <w:rPr>
          <w:rFonts w:cstheme="minorHAnsi"/>
          <w:bCs/>
          <w:sz w:val="22"/>
          <w:szCs w:val="22"/>
        </w:rPr>
        <w:t>DTG-based regimen.</w:t>
      </w:r>
      <w:r w:rsidR="000F256B">
        <w:rPr>
          <w:rFonts w:cstheme="minorHAnsi"/>
          <w:bCs/>
          <w:sz w:val="22"/>
          <w:szCs w:val="22"/>
        </w:rPr>
        <w:t xml:space="preserve"> </w:t>
      </w:r>
      <w:r w:rsidRPr="00962853">
        <w:rPr>
          <w:rFonts w:cstheme="minorHAnsi"/>
          <w:bCs/>
          <w:sz w:val="22"/>
          <w:szCs w:val="22"/>
        </w:rPr>
        <w:t xml:space="preserve">A </w:t>
      </w:r>
      <w:commentRangeStart w:id="6"/>
      <w:r w:rsidRPr="00962853">
        <w:rPr>
          <w:rFonts w:cstheme="minorHAnsi"/>
          <w:bCs/>
          <w:sz w:val="22"/>
          <w:szCs w:val="22"/>
        </w:rPr>
        <w:t xml:space="preserve">summary </w:t>
      </w:r>
      <w:commentRangeEnd w:id="6"/>
      <w:r w:rsidR="00B017F8">
        <w:rPr>
          <w:rStyle w:val="CommentReference"/>
        </w:rPr>
        <w:commentReference w:id="6"/>
      </w:r>
      <w:r w:rsidRPr="00962853">
        <w:rPr>
          <w:rFonts w:cstheme="minorHAnsi"/>
          <w:bCs/>
          <w:sz w:val="22"/>
          <w:szCs w:val="22"/>
        </w:rPr>
        <w:t xml:space="preserve">of the proposed regimen </w:t>
      </w:r>
      <w:r w:rsidR="00980F9E" w:rsidRPr="00962853">
        <w:rPr>
          <w:rFonts w:cstheme="minorHAnsi"/>
          <w:bCs/>
          <w:sz w:val="22"/>
          <w:szCs w:val="22"/>
        </w:rPr>
        <w:t>substitution</w:t>
      </w:r>
      <w:r w:rsidRPr="00962853">
        <w:rPr>
          <w:rFonts w:cstheme="minorHAnsi"/>
          <w:bCs/>
          <w:sz w:val="22"/>
          <w:szCs w:val="22"/>
        </w:rPr>
        <w:t xml:space="preserve"> is summarized in Table </w:t>
      </w:r>
      <w:r w:rsidR="008E048A">
        <w:rPr>
          <w:rFonts w:cstheme="minorHAnsi"/>
          <w:bCs/>
          <w:sz w:val="22"/>
          <w:szCs w:val="22"/>
        </w:rPr>
        <w:t>6</w:t>
      </w:r>
      <w:r w:rsidRPr="00962853">
        <w:rPr>
          <w:rFonts w:cstheme="minorHAnsi"/>
          <w:bCs/>
          <w:sz w:val="22"/>
          <w:szCs w:val="22"/>
        </w:rPr>
        <w:t xml:space="preserve"> below.</w:t>
      </w:r>
    </w:p>
    <w:p w14:paraId="59134D95" w14:textId="77777777" w:rsidR="0035446F" w:rsidRPr="00962853" w:rsidRDefault="0035446F" w:rsidP="00370DC1">
      <w:pPr>
        <w:pStyle w:val="EndnoteText"/>
        <w:spacing w:line="276" w:lineRule="auto"/>
        <w:jc w:val="both"/>
        <w:rPr>
          <w:rFonts w:cstheme="minorHAnsi"/>
          <w:bCs/>
          <w:sz w:val="22"/>
          <w:szCs w:val="22"/>
        </w:rPr>
      </w:pPr>
    </w:p>
    <w:tbl>
      <w:tblPr>
        <w:tblW w:w="8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20" w:firstRow="1" w:lastRow="0" w:firstColumn="0" w:lastColumn="0" w:noHBand="0" w:noVBand="1"/>
      </w:tblPr>
      <w:tblGrid>
        <w:gridCol w:w="3424"/>
        <w:gridCol w:w="2296"/>
        <w:gridCol w:w="2511"/>
      </w:tblGrid>
      <w:tr w:rsidR="00503937" w:rsidRPr="001254D5" w14:paraId="63C3458C" w14:textId="77777777" w:rsidTr="008E048A">
        <w:trPr>
          <w:trHeight w:val="302"/>
          <w:jc w:val="center"/>
        </w:trPr>
        <w:tc>
          <w:tcPr>
            <w:tcW w:w="8231" w:type="dxa"/>
            <w:gridSpan w:val="3"/>
            <w:shd w:val="clear" w:color="auto" w:fill="1F497D" w:themeFill="text2"/>
            <w:tcMar>
              <w:top w:w="15" w:type="dxa"/>
              <w:left w:w="111" w:type="dxa"/>
              <w:bottom w:w="0" w:type="dxa"/>
              <w:right w:w="111" w:type="dxa"/>
            </w:tcMar>
            <w:vAlign w:val="center"/>
          </w:tcPr>
          <w:p w14:paraId="26AA0660" w14:textId="232E9CE8" w:rsidR="00503937" w:rsidRDefault="00503937" w:rsidP="00DB0313">
            <w:pPr>
              <w:spacing w:after="0"/>
              <w:contextualSpacing/>
              <w:jc w:val="center"/>
              <w:rPr>
                <w:rFonts w:eastAsia="Times New Roman" w:cstheme="minorHAnsi"/>
                <w:b/>
                <w:bCs/>
                <w:i/>
                <w:iCs/>
                <w:kern w:val="24"/>
                <w:sz w:val="20"/>
                <w:szCs w:val="20"/>
              </w:rPr>
            </w:pPr>
            <w:r w:rsidRPr="008E048A">
              <w:rPr>
                <w:rFonts w:eastAsia="Times New Roman" w:cstheme="minorHAnsi"/>
                <w:b/>
                <w:bCs/>
                <w:i/>
                <w:iCs/>
                <w:color w:val="FFFFFF" w:themeColor="background1"/>
                <w:kern w:val="24"/>
                <w:sz w:val="20"/>
                <w:szCs w:val="20"/>
              </w:rPr>
              <w:lastRenderedPageBreak/>
              <w:t xml:space="preserve">Table 6: Proposed Optimal Regimen Substitution for CLHIV (4 weeks of age and weighing </w:t>
            </w:r>
            <w:r w:rsidR="007758F6">
              <w:rPr>
                <w:rFonts w:eastAsia="Times New Roman" w:cstheme="minorHAnsi"/>
                <w:b/>
                <w:bCs/>
                <w:i/>
                <w:iCs/>
                <w:color w:val="FFFFFF" w:themeColor="background1"/>
                <w:kern w:val="24"/>
                <w:sz w:val="20"/>
                <w:szCs w:val="20"/>
              </w:rPr>
              <w:t>&lt;</w:t>
            </w:r>
            <w:r w:rsidRPr="008E048A">
              <w:rPr>
                <w:rFonts w:eastAsia="Times New Roman" w:cstheme="minorHAnsi"/>
                <w:b/>
                <w:bCs/>
                <w:i/>
                <w:iCs/>
                <w:color w:val="FFFFFF" w:themeColor="background1"/>
                <w:kern w:val="24"/>
                <w:sz w:val="20"/>
                <w:szCs w:val="20"/>
              </w:rPr>
              <w:t>20 kg)</w:t>
            </w:r>
          </w:p>
        </w:tc>
      </w:tr>
      <w:tr w:rsidR="00503937" w:rsidRPr="001254D5" w14:paraId="6BF99476" w14:textId="77777777" w:rsidTr="000E56FF">
        <w:trPr>
          <w:trHeight w:val="302"/>
          <w:jc w:val="center"/>
        </w:trPr>
        <w:tc>
          <w:tcPr>
            <w:tcW w:w="3424" w:type="dxa"/>
            <w:vMerge w:val="restart"/>
            <w:shd w:val="clear" w:color="auto" w:fill="C6D9F1" w:themeFill="text2" w:themeFillTint="33"/>
            <w:tcMar>
              <w:top w:w="15" w:type="dxa"/>
              <w:left w:w="111" w:type="dxa"/>
              <w:bottom w:w="0" w:type="dxa"/>
              <w:right w:w="111" w:type="dxa"/>
            </w:tcMar>
            <w:vAlign w:val="center"/>
          </w:tcPr>
          <w:p w14:paraId="63538CE6" w14:textId="2FEB76D5" w:rsidR="00503937" w:rsidRPr="001254D5" w:rsidRDefault="00503937" w:rsidP="008E048A">
            <w:pPr>
              <w:spacing w:after="0"/>
              <w:contextualSpacing/>
              <w:jc w:val="center"/>
              <w:rPr>
                <w:rFonts w:eastAsia="Times New Roman" w:cstheme="minorHAnsi"/>
                <w:b/>
                <w:bCs/>
                <w:i/>
                <w:iCs/>
                <w:kern w:val="24"/>
                <w:sz w:val="20"/>
                <w:szCs w:val="20"/>
              </w:rPr>
            </w:pPr>
            <w:r w:rsidRPr="001254D5">
              <w:rPr>
                <w:rFonts w:eastAsia="Times New Roman" w:cstheme="minorHAnsi"/>
                <w:b/>
                <w:bCs/>
                <w:i/>
                <w:iCs/>
                <w:kern w:val="24"/>
                <w:sz w:val="20"/>
                <w:szCs w:val="20"/>
              </w:rPr>
              <w:t xml:space="preserve">Current </w:t>
            </w:r>
            <w:r w:rsidR="00C65D7E">
              <w:rPr>
                <w:rFonts w:eastAsia="Times New Roman" w:cstheme="minorHAnsi"/>
                <w:b/>
                <w:bCs/>
                <w:i/>
                <w:iCs/>
                <w:kern w:val="24"/>
                <w:sz w:val="20"/>
                <w:szCs w:val="20"/>
              </w:rPr>
              <w:t xml:space="preserve">Regimen </w:t>
            </w:r>
          </w:p>
        </w:tc>
        <w:tc>
          <w:tcPr>
            <w:tcW w:w="2296" w:type="dxa"/>
            <w:shd w:val="clear" w:color="auto" w:fill="C2D69B" w:themeFill="accent3" w:themeFillTint="99"/>
            <w:tcMar>
              <w:top w:w="15" w:type="dxa"/>
              <w:left w:w="111" w:type="dxa"/>
              <w:bottom w:w="0" w:type="dxa"/>
              <w:right w:w="111" w:type="dxa"/>
            </w:tcMar>
            <w:vAlign w:val="center"/>
          </w:tcPr>
          <w:p w14:paraId="175140F4" w14:textId="0A966B4E" w:rsidR="00503937" w:rsidRPr="001254D5" w:rsidRDefault="00503937" w:rsidP="008E048A">
            <w:pPr>
              <w:spacing w:after="0"/>
              <w:contextualSpacing/>
              <w:jc w:val="center"/>
              <w:rPr>
                <w:rFonts w:eastAsia="Times New Roman" w:cstheme="minorHAnsi"/>
                <w:b/>
                <w:bCs/>
                <w:i/>
                <w:iCs/>
                <w:kern w:val="24"/>
                <w:sz w:val="20"/>
                <w:szCs w:val="20"/>
              </w:rPr>
            </w:pPr>
            <w:r>
              <w:rPr>
                <w:rFonts w:eastAsia="Times New Roman" w:cstheme="minorHAnsi"/>
                <w:b/>
                <w:bCs/>
                <w:i/>
                <w:iCs/>
                <w:kern w:val="24"/>
                <w:sz w:val="20"/>
                <w:szCs w:val="20"/>
              </w:rPr>
              <w:t>Confirmed Viral Suppression</w:t>
            </w:r>
            <w:r w:rsidR="000E56FF">
              <w:rPr>
                <w:rFonts w:eastAsia="Times New Roman" w:cstheme="minorHAnsi"/>
                <w:b/>
                <w:bCs/>
                <w:i/>
                <w:iCs/>
                <w:kern w:val="24"/>
                <w:sz w:val="20"/>
                <w:szCs w:val="20"/>
              </w:rPr>
              <w:t>*</w:t>
            </w:r>
          </w:p>
        </w:tc>
        <w:tc>
          <w:tcPr>
            <w:tcW w:w="2511" w:type="dxa"/>
            <w:shd w:val="clear" w:color="auto" w:fill="FBD4B4" w:themeFill="accent6" w:themeFillTint="66"/>
            <w:tcMar>
              <w:top w:w="15" w:type="dxa"/>
              <w:left w:w="111" w:type="dxa"/>
              <w:bottom w:w="0" w:type="dxa"/>
              <w:right w:w="111" w:type="dxa"/>
            </w:tcMar>
            <w:vAlign w:val="center"/>
          </w:tcPr>
          <w:p w14:paraId="23358B9C" w14:textId="60A3E509" w:rsidR="00503937" w:rsidRPr="001254D5" w:rsidRDefault="00503937" w:rsidP="008E048A">
            <w:pPr>
              <w:spacing w:after="0"/>
              <w:contextualSpacing/>
              <w:jc w:val="center"/>
              <w:rPr>
                <w:rFonts w:eastAsia="Times New Roman" w:cstheme="minorHAnsi"/>
                <w:b/>
                <w:bCs/>
                <w:i/>
                <w:iCs/>
                <w:kern w:val="24"/>
                <w:sz w:val="20"/>
                <w:szCs w:val="20"/>
              </w:rPr>
            </w:pPr>
            <w:r>
              <w:rPr>
                <w:rFonts w:eastAsia="Times New Roman" w:cstheme="minorHAnsi"/>
                <w:b/>
                <w:bCs/>
                <w:i/>
                <w:iCs/>
                <w:kern w:val="24"/>
                <w:sz w:val="20"/>
                <w:szCs w:val="20"/>
              </w:rPr>
              <w:t>Confirmed Treatment Failure</w:t>
            </w:r>
            <w:r w:rsidR="000E56FF">
              <w:rPr>
                <w:rFonts w:eastAsia="Times New Roman" w:cstheme="minorHAnsi"/>
                <w:b/>
                <w:bCs/>
                <w:i/>
                <w:iCs/>
                <w:kern w:val="24"/>
                <w:sz w:val="20"/>
                <w:szCs w:val="20"/>
              </w:rPr>
              <w:t>**</w:t>
            </w:r>
          </w:p>
        </w:tc>
      </w:tr>
      <w:tr w:rsidR="00C65D7E" w:rsidRPr="001254D5" w14:paraId="01046FC3" w14:textId="77777777" w:rsidTr="000E56FF">
        <w:trPr>
          <w:trHeight w:val="302"/>
          <w:jc w:val="center"/>
        </w:trPr>
        <w:tc>
          <w:tcPr>
            <w:tcW w:w="3424" w:type="dxa"/>
            <w:vMerge/>
            <w:shd w:val="clear" w:color="auto" w:fill="C6D9F1" w:themeFill="text2" w:themeFillTint="33"/>
            <w:tcMar>
              <w:top w:w="15" w:type="dxa"/>
              <w:left w:w="111" w:type="dxa"/>
              <w:bottom w:w="0" w:type="dxa"/>
              <w:right w:w="111" w:type="dxa"/>
            </w:tcMar>
            <w:vAlign w:val="center"/>
            <w:hideMark/>
          </w:tcPr>
          <w:p w14:paraId="0958AC10" w14:textId="24A88929" w:rsidR="00503937" w:rsidRPr="001254D5" w:rsidRDefault="00503937" w:rsidP="00370DC1">
            <w:pPr>
              <w:spacing w:after="0"/>
              <w:contextualSpacing/>
              <w:jc w:val="both"/>
              <w:rPr>
                <w:rFonts w:eastAsia="Times New Roman" w:cstheme="minorHAnsi"/>
                <w:i/>
                <w:iCs/>
                <w:sz w:val="20"/>
                <w:szCs w:val="20"/>
              </w:rPr>
            </w:pPr>
          </w:p>
        </w:tc>
        <w:tc>
          <w:tcPr>
            <w:tcW w:w="2296" w:type="dxa"/>
            <w:shd w:val="clear" w:color="auto" w:fill="D9D9D9" w:themeFill="background1" w:themeFillShade="D9"/>
            <w:tcMar>
              <w:top w:w="15" w:type="dxa"/>
              <w:left w:w="111" w:type="dxa"/>
              <w:bottom w:w="0" w:type="dxa"/>
              <w:right w:w="111" w:type="dxa"/>
            </w:tcMar>
            <w:vAlign w:val="center"/>
            <w:hideMark/>
          </w:tcPr>
          <w:p w14:paraId="29CD9058" w14:textId="773A962D" w:rsidR="00503937" w:rsidRPr="001254D5" w:rsidRDefault="00503937" w:rsidP="008E048A">
            <w:pPr>
              <w:spacing w:after="0"/>
              <w:contextualSpacing/>
              <w:jc w:val="center"/>
              <w:rPr>
                <w:rFonts w:eastAsia="Times New Roman" w:cstheme="minorHAnsi"/>
                <w:i/>
                <w:iCs/>
                <w:sz w:val="20"/>
                <w:szCs w:val="20"/>
              </w:rPr>
            </w:pPr>
            <w:r w:rsidRPr="001254D5">
              <w:rPr>
                <w:rFonts w:eastAsia="Times New Roman" w:cstheme="minorHAnsi"/>
                <w:b/>
                <w:bCs/>
                <w:i/>
                <w:iCs/>
                <w:kern w:val="24"/>
                <w:sz w:val="20"/>
                <w:szCs w:val="20"/>
              </w:rPr>
              <w:t xml:space="preserve">Recommended </w:t>
            </w:r>
            <w:r>
              <w:rPr>
                <w:rFonts w:eastAsia="Times New Roman" w:cstheme="minorHAnsi"/>
                <w:b/>
                <w:bCs/>
                <w:i/>
                <w:iCs/>
                <w:kern w:val="24"/>
                <w:sz w:val="20"/>
                <w:szCs w:val="20"/>
              </w:rPr>
              <w:t>Regimen</w:t>
            </w:r>
          </w:p>
        </w:tc>
        <w:tc>
          <w:tcPr>
            <w:tcW w:w="2511" w:type="dxa"/>
            <w:shd w:val="clear" w:color="auto" w:fill="D9D9D9" w:themeFill="background1" w:themeFillShade="D9"/>
            <w:tcMar>
              <w:top w:w="15" w:type="dxa"/>
              <w:left w:w="111" w:type="dxa"/>
              <w:bottom w:w="0" w:type="dxa"/>
              <w:right w:w="111" w:type="dxa"/>
            </w:tcMar>
            <w:vAlign w:val="center"/>
            <w:hideMark/>
          </w:tcPr>
          <w:p w14:paraId="4E275217" w14:textId="1DA04385" w:rsidR="00503937" w:rsidRPr="001254D5" w:rsidRDefault="00503937" w:rsidP="008E048A">
            <w:pPr>
              <w:spacing w:after="0"/>
              <w:contextualSpacing/>
              <w:jc w:val="center"/>
              <w:rPr>
                <w:rFonts w:eastAsia="Times New Roman" w:cstheme="minorHAnsi"/>
                <w:i/>
                <w:iCs/>
                <w:sz w:val="20"/>
                <w:szCs w:val="20"/>
              </w:rPr>
            </w:pPr>
            <w:r>
              <w:rPr>
                <w:rFonts w:eastAsia="Times New Roman" w:cstheme="minorHAnsi"/>
                <w:b/>
                <w:bCs/>
                <w:i/>
                <w:iCs/>
                <w:kern w:val="24"/>
                <w:sz w:val="20"/>
                <w:szCs w:val="20"/>
              </w:rPr>
              <w:t>Recommended Regimen</w:t>
            </w:r>
          </w:p>
        </w:tc>
      </w:tr>
      <w:tr w:rsidR="00503937" w:rsidRPr="001254D5" w14:paraId="74CFB12A" w14:textId="77777777" w:rsidTr="000E56FF">
        <w:trPr>
          <w:trHeight w:val="302"/>
          <w:jc w:val="center"/>
        </w:trPr>
        <w:tc>
          <w:tcPr>
            <w:tcW w:w="3424" w:type="dxa"/>
            <w:shd w:val="clear" w:color="auto" w:fill="D9D9D9" w:themeFill="background1" w:themeFillShade="D9"/>
            <w:tcMar>
              <w:top w:w="15" w:type="dxa"/>
              <w:left w:w="111" w:type="dxa"/>
              <w:bottom w:w="0" w:type="dxa"/>
              <w:right w:w="111" w:type="dxa"/>
            </w:tcMar>
            <w:vAlign w:val="center"/>
          </w:tcPr>
          <w:p w14:paraId="1AF8695E" w14:textId="284B12DE" w:rsidR="00503937" w:rsidRPr="001254D5" w:rsidDel="00782A1B" w:rsidRDefault="00503937"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ABC</w:t>
            </w:r>
            <w:r>
              <w:rPr>
                <w:rFonts w:eastAsia="Times New Roman" w:cstheme="minorHAnsi"/>
                <w:i/>
                <w:iCs/>
                <w:color w:val="000000"/>
                <w:kern w:val="24"/>
                <w:sz w:val="20"/>
                <w:szCs w:val="20"/>
              </w:rPr>
              <w:t>/3TC/</w:t>
            </w:r>
            <w:r w:rsidRPr="008E048A">
              <w:rPr>
                <w:rFonts w:eastAsia="Times New Roman" w:cstheme="minorHAnsi"/>
                <w:b/>
                <w:bCs/>
                <w:i/>
                <w:iCs/>
                <w:color w:val="000000"/>
                <w:kern w:val="24"/>
                <w:sz w:val="20"/>
                <w:szCs w:val="20"/>
              </w:rPr>
              <w:t>LPV/r</w:t>
            </w:r>
          </w:p>
        </w:tc>
        <w:tc>
          <w:tcPr>
            <w:tcW w:w="2296" w:type="dxa"/>
            <w:vMerge w:val="restart"/>
            <w:shd w:val="clear" w:color="auto" w:fill="FFFFFF" w:themeFill="background1"/>
            <w:tcMar>
              <w:top w:w="15" w:type="dxa"/>
              <w:left w:w="111" w:type="dxa"/>
              <w:bottom w:w="0" w:type="dxa"/>
              <w:right w:w="111" w:type="dxa"/>
            </w:tcMar>
            <w:vAlign w:val="center"/>
          </w:tcPr>
          <w:p w14:paraId="46EF034E" w14:textId="508CB536" w:rsidR="00503937" w:rsidRPr="001254D5" w:rsidDel="00782A1B" w:rsidRDefault="00503937"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ABC</w:t>
            </w:r>
            <w:r>
              <w:rPr>
                <w:rFonts w:eastAsia="Times New Roman" w:cstheme="minorHAnsi"/>
                <w:i/>
                <w:iCs/>
                <w:color w:val="000000"/>
                <w:kern w:val="24"/>
                <w:sz w:val="20"/>
                <w:szCs w:val="20"/>
              </w:rPr>
              <w:t>/3TC/</w:t>
            </w:r>
            <w:r w:rsidRPr="008E048A">
              <w:rPr>
                <w:rFonts w:eastAsia="Times New Roman" w:cstheme="minorHAnsi"/>
                <w:b/>
                <w:bCs/>
                <w:i/>
                <w:iCs/>
                <w:color w:val="000000"/>
                <w:kern w:val="24"/>
                <w:sz w:val="20"/>
                <w:szCs w:val="20"/>
              </w:rPr>
              <w:t>DTG</w:t>
            </w:r>
          </w:p>
        </w:tc>
        <w:tc>
          <w:tcPr>
            <w:tcW w:w="2511" w:type="dxa"/>
            <w:vMerge w:val="restart"/>
            <w:shd w:val="clear" w:color="auto" w:fill="FFFFFF" w:themeFill="background1"/>
            <w:tcMar>
              <w:top w:w="15" w:type="dxa"/>
              <w:left w:w="111" w:type="dxa"/>
              <w:bottom w:w="0" w:type="dxa"/>
              <w:right w:w="111" w:type="dxa"/>
            </w:tcMar>
            <w:vAlign w:val="center"/>
          </w:tcPr>
          <w:p w14:paraId="5A5E9E1A" w14:textId="0E8848C8" w:rsidR="00503937" w:rsidRPr="001254D5" w:rsidDel="00782A1B" w:rsidRDefault="00503937"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AZT</w:t>
            </w:r>
            <w:r>
              <w:rPr>
                <w:rFonts w:eastAsia="Times New Roman" w:cstheme="minorHAnsi"/>
                <w:i/>
                <w:iCs/>
                <w:color w:val="000000"/>
                <w:kern w:val="24"/>
                <w:sz w:val="20"/>
                <w:szCs w:val="20"/>
              </w:rPr>
              <w:t>/3TC/</w:t>
            </w:r>
            <w:r w:rsidRPr="008E048A">
              <w:rPr>
                <w:rFonts w:eastAsia="Times New Roman" w:cstheme="minorHAnsi"/>
                <w:b/>
                <w:bCs/>
                <w:i/>
                <w:iCs/>
                <w:color w:val="000000"/>
                <w:kern w:val="24"/>
                <w:sz w:val="20"/>
                <w:szCs w:val="20"/>
              </w:rPr>
              <w:t>DTG</w:t>
            </w:r>
          </w:p>
        </w:tc>
      </w:tr>
      <w:tr w:rsidR="00503937" w:rsidRPr="001254D5" w14:paraId="0F57B498" w14:textId="77777777" w:rsidTr="000E56FF">
        <w:trPr>
          <w:trHeight w:val="302"/>
          <w:jc w:val="center"/>
        </w:trPr>
        <w:tc>
          <w:tcPr>
            <w:tcW w:w="3424" w:type="dxa"/>
            <w:shd w:val="clear" w:color="auto" w:fill="D9D9D9" w:themeFill="background1" w:themeFillShade="D9"/>
            <w:tcMar>
              <w:top w:w="15" w:type="dxa"/>
              <w:left w:w="111" w:type="dxa"/>
              <w:bottom w:w="0" w:type="dxa"/>
              <w:right w:w="111" w:type="dxa"/>
            </w:tcMar>
            <w:vAlign w:val="center"/>
          </w:tcPr>
          <w:p w14:paraId="1E13555B" w14:textId="4110B621" w:rsidR="00503937" w:rsidRPr="001254D5" w:rsidDel="00782A1B" w:rsidRDefault="00503937"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ABC</w:t>
            </w:r>
            <w:r>
              <w:rPr>
                <w:rFonts w:eastAsia="Times New Roman" w:cstheme="minorHAnsi"/>
                <w:i/>
                <w:iCs/>
                <w:color w:val="000000"/>
                <w:kern w:val="24"/>
                <w:sz w:val="20"/>
                <w:szCs w:val="20"/>
              </w:rPr>
              <w:t>/3TC/</w:t>
            </w:r>
            <w:r w:rsidRPr="008E048A">
              <w:rPr>
                <w:rFonts w:eastAsia="Times New Roman" w:cstheme="minorHAnsi"/>
                <w:b/>
                <w:bCs/>
                <w:i/>
                <w:iCs/>
                <w:color w:val="000000"/>
                <w:kern w:val="24"/>
                <w:sz w:val="20"/>
                <w:szCs w:val="20"/>
              </w:rPr>
              <w:t>EFV</w:t>
            </w:r>
          </w:p>
        </w:tc>
        <w:tc>
          <w:tcPr>
            <w:tcW w:w="2296" w:type="dxa"/>
            <w:vMerge/>
            <w:shd w:val="clear" w:color="auto" w:fill="FFFFFF" w:themeFill="background1"/>
            <w:tcMar>
              <w:top w:w="15" w:type="dxa"/>
              <w:left w:w="111" w:type="dxa"/>
              <w:bottom w:w="0" w:type="dxa"/>
              <w:right w:w="111" w:type="dxa"/>
            </w:tcMar>
            <w:vAlign w:val="center"/>
          </w:tcPr>
          <w:p w14:paraId="66BE3D3A" w14:textId="5F5C1262" w:rsidR="00503937" w:rsidRPr="001254D5" w:rsidDel="00782A1B" w:rsidRDefault="00503937" w:rsidP="00503937">
            <w:pPr>
              <w:spacing w:after="0"/>
              <w:contextualSpacing/>
              <w:jc w:val="both"/>
              <w:rPr>
                <w:rFonts w:eastAsia="Times New Roman" w:cstheme="minorHAnsi"/>
                <w:i/>
                <w:iCs/>
                <w:color w:val="000000"/>
                <w:kern w:val="24"/>
                <w:sz w:val="20"/>
                <w:szCs w:val="20"/>
              </w:rPr>
            </w:pPr>
          </w:p>
        </w:tc>
        <w:tc>
          <w:tcPr>
            <w:tcW w:w="2511" w:type="dxa"/>
            <w:vMerge/>
            <w:shd w:val="clear" w:color="auto" w:fill="FFFFFF" w:themeFill="background1"/>
            <w:tcMar>
              <w:top w:w="15" w:type="dxa"/>
              <w:left w:w="111" w:type="dxa"/>
              <w:bottom w:w="0" w:type="dxa"/>
              <w:right w:w="111" w:type="dxa"/>
            </w:tcMar>
            <w:vAlign w:val="center"/>
          </w:tcPr>
          <w:p w14:paraId="2B3FCA9D" w14:textId="77777777" w:rsidR="00503937" w:rsidRPr="001254D5" w:rsidDel="00782A1B" w:rsidRDefault="00503937" w:rsidP="00503937">
            <w:pPr>
              <w:spacing w:after="0"/>
              <w:contextualSpacing/>
              <w:jc w:val="both"/>
              <w:rPr>
                <w:rFonts w:eastAsia="Times New Roman" w:cstheme="minorHAnsi"/>
                <w:i/>
                <w:iCs/>
                <w:color w:val="000000"/>
                <w:kern w:val="24"/>
                <w:sz w:val="20"/>
                <w:szCs w:val="20"/>
              </w:rPr>
            </w:pPr>
          </w:p>
        </w:tc>
      </w:tr>
      <w:tr w:rsidR="00503937" w:rsidRPr="001254D5" w14:paraId="1C9214AA" w14:textId="77777777" w:rsidTr="000E56FF">
        <w:trPr>
          <w:trHeight w:val="302"/>
          <w:jc w:val="center"/>
        </w:trPr>
        <w:tc>
          <w:tcPr>
            <w:tcW w:w="3424" w:type="dxa"/>
            <w:shd w:val="clear" w:color="auto" w:fill="D9D9D9" w:themeFill="background1" w:themeFillShade="D9"/>
            <w:tcMar>
              <w:top w:w="15" w:type="dxa"/>
              <w:left w:w="111" w:type="dxa"/>
              <w:bottom w:w="0" w:type="dxa"/>
              <w:right w:w="111" w:type="dxa"/>
            </w:tcMar>
            <w:vAlign w:val="center"/>
          </w:tcPr>
          <w:p w14:paraId="6DF4F690" w14:textId="680BDAC8" w:rsidR="00503937" w:rsidRDefault="00503937"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ABC</w:t>
            </w:r>
            <w:r>
              <w:rPr>
                <w:rFonts w:eastAsia="Times New Roman" w:cstheme="minorHAnsi"/>
                <w:i/>
                <w:iCs/>
                <w:color w:val="000000"/>
                <w:kern w:val="24"/>
                <w:sz w:val="20"/>
                <w:szCs w:val="20"/>
              </w:rPr>
              <w:t>/3TC/</w:t>
            </w:r>
            <w:r w:rsidRPr="008E048A">
              <w:rPr>
                <w:rFonts w:eastAsia="Times New Roman" w:cstheme="minorHAnsi"/>
                <w:b/>
                <w:bCs/>
                <w:i/>
                <w:iCs/>
                <w:color w:val="000000"/>
                <w:kern w:val="24"/>
                <w:sz w:val="20"/>
                <w:szCs w:val="20"/>
              </w:rPr>
              <w:t>NVP</w:t>
            </w:r>
          </w:p>
        </w:tc>
        <w:tc>
          <w:tcPr>
            <w:tcW w:w="2296" w:type="dxa"/>
            <w:vMerge/>
            <w:shd w:val="clear" w:color="auto" w:fill="FFFFFF" w:themeFill="background1"/>
            <w:tcMar>
              <w:top w:w="15" w:type="dxa"/>
              <w:left w:w="111" w:type="dxa"/>
              <w:bottom w:w="0" w:type="dxa"/>
              <w:right w:w="111" w:type="dxa"/>
            </w:tcMar>
            <w:vAlign w:val="center"/>
          </w:tcPr>
          <w:p w14:paraId="69A3D67D" w14:textId="77777777" w:rsidR="00503937" w:rsidRDefault="00503937" w:rsidP="00503937">
            <w:pPr>
              <w:spacing w:after="0"/>
              <w:contextualSpacing/>
              <w:jc w:val="both"/>
              <w:rPr>
                <w:rFonts w:eastAsia="Times New Roman" w:cstheme="minorHAnsi"/>
                <w:i/>
                <w:iCs/>
                <w:color w:val="000000"/>
                <w:kern w:val="24"/>
                <w:sz w:val="20"/>
                <w:szCs w:val="20"/>
              </w:rPr>
            </w:pPr>
          </w:p>
        </w:tc>
        <w:tc>
          <w:tcPr>
            <w:tcW w:w="2511" w:type="dxa"/>
            <w:vMerge/>
            <w:shd w:val="clear" w:color="auto" w:fill="FFFFFF" w:themeFill="background1"/>
            <w:tcMar>
              <w:top w:w="15" w:type="dxa"/>
              <w:left w:w="111" w:type="dxa"/>
              <w:bottom w:w="0" w:type="dxa"/>
              <w:right w:w="111" w:type="dxa"/>
            </w:tcMar>
            <w:vAlign w:val="center"/>
          </w:tcPr>
          <w:p w14:paraId="4D687411" w14:textId="77777777" w:rsidR="00503937" w:rsidRPr="001254D5" w:rsidDel="00782A1B" w:rsidRDefault="00503937" w:rsidP="00503937">
            <w:pPr>
              <w:spacing w:after="0"/>
              <w:contextualSpacing/>
              <w:jc w:val="both"/>
              <w:rPr>
                <w:rFonts w:eastAsia="Times New Roman" w:cstheme="minorHAnsi"/>
                <w:i/>
                <w:iCs/>
                <w:color w:val="000000"/>
                <w:kern w:val="24"/>
                <w:sz w:val="20"/>
                <w:szCs w:val="20"/>
              </w:rPr>
            </w:pPr>
          </w:p>
        </w:tc>
      </w:tr>
      <w:tr w:rsidR="00503937" w:rsidRPr="001254D5" w14:paraId="17AEB84E" w14:textId="77777777" w:rsidTr="000E56FF">
        <w:trPr>
          <w:trHeight w:val="302"/>
          <w:jc w:val="center"/>
        </w:trPr>
        <w:tc>
          <w:tcPr>
            <w:tcW w:w="3424" w:type="dxa"/>
            <w:shd w:val="clear" w:color="auto" w:fill="auto"/>
            <w:tcMar>
              <w:top w:w="15" w:type="dxa"/>
              <w:left w:w="111" w:type="dxa"/>
              <w:bottom w:w="0" w:type="dxa"/>
              <w:right w:w="111" w:type="dxa"/>
            </w:tcMar>
            <w:vAlign w:val="center"/>
          </w:tcPr>
          <w:p w14:paraId="094CD329" w14:textId="22CAD879" w:rsidR="00503937" w:rsidRDefault="00503937"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AZT</w:t>
            </w:r>
            <w:r>
              <w:rPr>
                <w:rFonts w:eastAsia="Times New Roman" w:cstheme="minorHAnsi"/>
                <w:i/>
                <w:iCs/>
                <w:color w:val="000000"/>
                <w:kern w:val="24"/>
                <w:sz w:val="20"/>
                <w:szCs w:val="20"/>
              </w:rPr>
              <w:t>/3TC/</w:t>
            </w:r>
            <w:r w:rsidRPr="008E048A">
              <w:rPr>
                <w:rFonts w:eastAsia="Times New Roman" w:cstheme="minorHAnsi"/>
                <w:b/>
                <w:bCs/>
                <w:i/>
                <w:iCs/>
                <w:color w:val="000000"/>
                <w:kern w:val="24"/>
                <w:sz w:val="20"/>
                <w:szCs w:val="20"/>
              </w:rPr>
              <w:t>LPV/r</w:t>
            </w:r>
          </w:p>
        </w:tc>
        <w:tc>
          <w:tcPr>
            <w:tcW w:w="2296" w:type="dxa"/>
            <w:vMerge w:val="restart"/>
            <w:shd w:val="clear" w:color="auto" w:fill="FFFFFF" w:themeFill="background1"/>
            <w:tcMar>
              <w:top w:w="15" w:type="dxa"/>
              <w:left w:w="111" w:type="dxa"/>
              <w:bottom w:w="0" w:type="dxa"/>
              <w:right w:w="111" w:type="dxa"/>
            </w:tcMar>
            <w:vAlign w:val="center"/>
          </w:tcPr>
          <w:p w14:paraId="634D78C7" w14:textId="417BBE59" w:rsidR="00503937" w:rsidRDefault="00503937"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AZT</w:t>
            </w:r>
            <w:r>
              <w:rPr>
                <w:rFonts w:eastAsia="Times New Roman" w:cstheme="minorHAnsi"/>
                <w:i/>
                <w:iCs/>
                <w:color w:val="000000"/>
                <w:kern w:val="24"/>
                <w:sz w:val="20"/>
                <w:szCs w:val="20"/>
              </w:rPr>
              <w:t>/3TC/</w:t>
            </w:r>
            <w:r w:rsidRPr="008E048A">
              <w:rPr>
                <w:rFonts w:eastAsia="Times New Roman" w:cstheme="minorHAnsi"/>
                <w:b/>
                <w:bCs/>
                <w:i/>
                <w:iCs/>
                <w:color w:val="000000"/>
                <w:kern w:val="24"/>
                <w:sz w:val="20"/>
                <w:szCs w:val="20"/>
              </w:rPr>
              <w:t>DTG</w:t>
            </w:r>
          </w:p>
        </w:tc>
        <w:tc>
          <w:tcPr>
            <w:tcW w:w="2511" w:type="dxa"/>
            <w:vMerge w:val="restart"/>
            <w:shd w:val="clear" w:color="auto" w:fill="FFFFFF" w:themeFill="background1"/>
            <w:tcMar>
              <w:top w:w="15" w:type="dxa"/>
              <w:left w:w="111" w:type="dxa"/>
              <w:bottom w:w="0" w:type="dxa"/>
              <w:right w:w="111" w:type="dxa"/>
            </w:tcMar>
            <w:vAlign w:val="center"/>
          </w:tcPr>
          <w:p w14:paraId="2E1F538F" w14:textId="36A1E03E" w:rsidR="00503937" w:rsidRPr="001254D5" w:rsidDel="00782A1B" w:rsidRDefault="00C65D7E"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ABC</w:t>
            </w:r>
            <w:r>
              <w:rPr>
                <w:rFonts w:eastAsia="Times New Roman" w:cstheme="minorHAnsi"/>
                <w:i/>
                <w:iCs/>
                <w:color w:val="000000"/>
                <w:kern w:val="24"/>
                <w:sz w:val="20"/>
                <w:szCs w:val="20"/>
              </w:rPr>
              <w:t>/3TC/</w:t>
            </w:r>
            <w:r w:rsidRPr="008E048A">
              <w:rPr>
                <w:rFonts w:eastAsia="Times New Roman" w:cstheme="minorHAnsi"/>
                <w:b/>
                <w:bCs/>
                <w:i/>
                <w:iCs/>
                <w:color w:val="000000"/>
                <w:kern w:val="24"/>
                <w:sz w:val="20"/>
                <w:szCs w:val="20"/>
              </w:rPr>
              <w:t>DTG</w:t>
            </w:r>
          </w:p>
        </w:tc>
      </w:tr>
      <w:tr w:rsidR="00503937" w:rsidRPr="001254D5" w14:paraId="73505F08" w14:textId="77777777" w:rsidTr="000E56FF">
        <w:trPr>
          <w:trHeight w:val="302"/>
          <w:jc w:val="center"/>
        </w:trPr>
        <w:tc>
          <w:tcPr>
            <w:tcW w:w="3424" w:type="dxa"/>
            <w:shd w:val="clear" w:color="auto" w:fill="auto"/>
            <w:tcMar>
              <w:top w:w="15" w:type="dxa"/>
              <w:left w:w="111" w:type="dxa"/>
              <w:bottom w:w="0" w:type="dxa"/>
              <w:right w:w="111" w:type="dxa"/>
            </w:tcMar>
            <w:vAlign w:val="center"/>
          </w:tcPr>
          <w:p w14:paraId="093C138A" w14:textId="7BB34700" w:rsidR="00503937" w:rsidRDefault="00503937"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AZT</w:t>
            </w:r>
            <w:r>
              <w:rPr>
                <w:rFonts w:eastAsia="Times New Roman" w:cstheme="minorHAnsi"/>
                <w:i/>
                <w:iCs/>
                <w:color w:val="000000"/>
                <w:kern w:val="24"/>
                <w:sz w:val="20"/>
                <w:szCs w:val="20"/>
              </w:rPr>
              <w:t>/3TC/</w:t>
            </w:r>
            <w:r w:rsidR="00C65D7E" w:rsidRPr="008E048A">
              <w:rPr>
                <w:rFonts w:eastAsia="Times New Roman" w:cstheme="minorHAnsi"/>
                <w:b/>
                <w:bCs/>
                <w:i/>
                <w:iCs/>
                <w:color w:val="000000"/>
                <w:kern w:val="24"/>
                <w:sz w:val="20"/>
                <w:szCs w:val="20"/>
              </w:rPr>
              <w:t>EFV</w:t>
            </w:r>
          </w:p>
        </w:tc>
        <w:tc>
          <w:tcPr>
            <w:tcW w:w="2296" w:type="dxa"/>
            <w:vMerge/>
            <w:shd w:val="clear" w:color="auto" w:fill="FFFFFF" w:themeFill="background1"/>
            <w:tcMar>
              <w:top w:w="15" w:type="dxa"/>
              <w:left w:w="111" w:type="dxa"/>
              <w:bottom w:w="0" w:type="dxa"/>
              <w:right w:w="111" w:type="dxa"/>
            </w:tcMar>
            <w:vAlign w:val="center"/>
          </w:tcPr>
          <w:p w14:paraId="60C65A11" w14:textId="77777777" w:rsidR="00503937" w:rsidRDefault="00503937" w:rsidP="00503937">
            <w:pPr>
              <w:spacing w:after="0"/>
              <w:contextualSpacing/>
              <w:jc w:val="both"/>
              <w:rPr>
                <w:rFonts w:eastAsia="Times New Roman" w:cstheme="minorHAnsi"/>
                <w:i/>
                <w:iCs/>
                <w:color w:val="000000"/>
                <w:kern w:val="24"/>
                <w:sz w:val="20"/>
                <w:szCs w:val="20"/>
              </w:rPr>
            </w:pPr>
          </w:p>
        </w:tc>
        <w:tc>
          <w:tcPr>
            <w:tcW w:w="2511" w:type="dxa"/>
            <w:vMerge/>
            <w:shd w:val="clear" w:color="auto" w:fill="FFFFFF" w:themeFill="background1"/>
            <w:tcMar>
              <w:top w:w="15" w:type="dxa"/>
              <w:left w:w="111" w:type="dxa"/>
              <w:bottom w:w="0" w:type="dxa"/>
              <w:right w:w="111" w:type="dxa"/>
            </w:tcMar>
            <w:vAlign w:val="center"/>
          </w:tcPr>
          <w:p w14:paraId="347A1C36" w14:textId="77777777" w:rsidR="00503937" w:rsidRPr="001254D5" w:rsidDel="00782A1B" w:rsidRDefault="00503937" w:rsidP="00503937">
            <w:pPr>
              <w:spacing w:after="0"/>
              <w:contextualSpacing/>
              <w:jc w:val="both"/>
              <w:rPr>
                <w:rFonts w:eastAsia="Times New Roman" w:cstheme="minorHAnsi"/>
                <w:i/>
                <w:iCs/>
                <w:color w:val="000000"/>
                <w:kern w:val="24"/>
                <w:sz w:val="20"/>
                <w:szCs w:val="20"/>
              </w:rPr>
            </w:pPr>
          </w:p>
        </w:tc>
      </w:tr>
      <w:tr w:rsidR="00503937" w:rsidRPr="001254D5" w14:paraId="4E42EE1A" w14:textId="77777777" w:rsidTr="000E56FF">
        <w:trPr>
          <w:trHeight w:val="302"/>
          <w:jc w:val="center"/>
        </w:trPr>
        <w:tc>
          <w:tcPr>
            <w:tcW w:w="3424" w:type="dxa"/>
            <w:shd w:val="clear" w:color="auto" w:fill="auto"/>
            <w:tcMar>
              <w:top w:w="15" w:type="dxa"/>
              <w:left w:w="111" w:type="dxa"/>
              <w:bottom w:w="0" w:type="dxa"/>
              <w:right w:w="111" w:type="dxa"/>
            </w:tcMar>
            <w:vAlign w:val="center"/>
          </w:tcPr>
          <w:p w14:paraId="09BB1B55" w14:textId="3927DDD7" w:rsidR="00503937" w:rsidRPr="001254D5" w:rsidDel="00782A1B" w:rsidRDefault="00503937" w:rsidP="008E048A">
            <w:pPr>
              <w:spacing w:after="0"/>
              <w:contextualSpacing/>
              <w:jc w:val="center"/>
              <w:rPr>
                <w:rFonts w:eastAsia="Times New Roman" w:cstheme="minorHAnsi"/>
                <w:i/>
                <w:iCs/>
                <w:color w:val="000000"/>
                <w:kern w:val="24"/>
                <w:sz w:val="20"/>
                <w:szCs w:val="20"/>
              </w:rPr>
            </w:pPr>
            <w:r w:rsidRPr="008E048A">
              <w:rPr>
                <w:rFonts w:eastAsia="Times New Roman" w:cstheme="minorHAnsi"/>
                <w:b/>
                <w:bCs/>
                <w:i/>
                <w:iCs/>
                <w:color w:val="000000"/>
                <w:kern w:val="24"/>
                <w:sz w:val="20"/>
                <w:szCs w:val="20"/>
              </w:rPr>
              <w:t>AZT</w:t>
            </w:r>
            <w:r>
              <w:rPr>
                <w:rFonts w:eastAsia="Times New Roman" w:cstheme="minorHAnsi"/>
                <w:i/>
                <w:iCs/>
                <w:color w:val="000000"/>
                <w:kern w:val="24"/>
                <w:sz w:val="20"/>
                <w:szCs w:val="20"/>
              </w:rPr>
              <w:t>/3TC/</w:t>
            </w:r>
            <w:r w:rsidR="00C65D7E" w:rsidRPr="008E048A">
              <w:rPr>
                <w:rFonts w:eastAsia="Times New Roman" w:cstheme="minorHAnsi"/>
                <w:b/>
                <w:bCs/>
                <w:i/>
                <w:iCs/>
                <w:color w:val="000000"/>
                <w:kern w:val="24"/>
                <w:sz w:val="20"/>
                <w:szCs w:val="20"/>
              </w:rPr>
              <w:t>NVP</w:t>
            </w:r>
            <w:r w:rsidDel="00503937">
              <w:rPr>
                <w:rFonts w:eastAsia="Times New Roman" w:cstheme="minorHAnsi"/>
                <w:i/>
                <w:iCs/>
                <w:color w:val="000000"/>
                <w:kern w:val="24"/>
                <w:sz w:val="20"/>
                <w:szCs w:val="20"/>
              </w:rPr>
              <w:t xml:space="preserve"> </w:t>
            </w:r>
          </w:p>
        </w:tc>
        <w:tc>
          <w:tcPr>
            <w:tcW w:w="2296" w:type="dxa"/>
            <w:vMerge/>
            <w:shd w:val="clear" w:color="auto" w:fill="FFFFFF" w:themeFill="background1"/>
            <w:tcMar>
              <w:top w:w="15" w:type="dxa"/>
              <w:left w:w="111" w:type="dxa"/>
              <w:bottom w:w="0" w:type="dxa"/>
              <w:right w:w="111" w:type="dxa"/>
            </w:tcMar>
            <w:vAlign w:val="center"/>
          </w:tcPr>
          <w:p w14:paraId="6A143D54" w14:textId="77777777" w:rsidR="00503937" w:rsidRPr="001254D5" w:rsidDel="00782A1B" w:rsidRDefault="00503937" w:rsidP="00503937">
            <w:pPr>
              <w:spacing w:after="0"/>
              <w:contextualSpacing/>
              <w:jc w:val="both"/>
              <w:rPr>
                <w:rFonts w:eastAsia="Times New Roman" w:cstheme="minorHAnsi"/>
                <w:i/>
                <w:iCs/>
                <w:color w:val="000000"/>
                <w:kern w:val="24"/>
                <w:sz w:val="20"/>
                <w:szCs w:val="20"/>
              </w:rPr>
            </w:pPr>
          </w:p>
        </w:tc>
        <w:tc>
          <w:tcPr>
            <w:tcW w:w="2511" w:type="dxa"/>
            <w:vMerge/>
            <w:shd w:val="clear" w:color="auto" w:fill="FFFFFF" w:themeFill="background1"/>
            <w:tcMar>
              <w:top w:w="15" w:type="dxa"/>
              <w:left w:w="111" w:type="dxa"/>
              <w:bottom w:w="0" w:type="dxa"/>
              <w:right w:w="111" w:type="dxa"/>
            </w:tcMar>
            <w:vAlign w:val="center"/>
          </w:tcPr>
          <w:p w14:paraId="2581BB39" w14:textId="77777777" w:rsidR="00503937" w:rsidRPr="001254D5" w:rsidDel="00782A1B" w:rsidRDefault="00503937" w:rsidP="00503937">
            <w:pPr>
              <w:spacing w:after="0"/>
              <w:contextualSpacing/>
              <w:jc w:val="both"/>
              <w:rPr>
                <w:rFonts w:eastAsia="Times New Roman" w:cstheme="minorHAnsi"/>
                <w:i/>
                <w:iCs/>
                <w:color w:val="000000"/>
                <w:kern w:val="24"/>
                <w:sz w:val="20"/>
                <w:szCs w:val="20"/>
              </w:rPr>
            </w:pPr>
          </w:p>
        </w:tc>
      </w:tr>
      <w:tr w:rsidR="00503937" w:rsidRPr="001254D5" w14:paraId="49012E68" w14:textId="77777777" w:rsidTr="000E56FF">
        <w:trPr>
          <w:trHeight w:val="302"/>
          <w:jc w:val="center"/>
        </w:trPr>
        <w:tc>
          <w:tcPr>
            <w:tcW w:w="3424" w:type="dxa"/>
            <w:shd w:val="clear" w:color="auto" w:fill="D9D9D9" w:themeFill="background1" w:themeFillShade="D9"/>
            <w:tcMar>
              <w:top w:w="15" w:type="dxa"/>
              <w:left w:w="111" w:type="dxa"/>
              <w:bottom w:w="0" w:type="dxa"/>
              <w:right w:w="111" w:type="dxa"/>
            </w:tcMar>
            <w:vAlign w:val="center"/>
          </w:tcPr>
          <w:p w14:paraId="08B0964B" w14:textId="5AF679D2" w:rsidR="00503937" w:rsidRPr="001254D5" w:rsidDel="00782A1B" w:rsidRDefault="00503937" w:rsidP="008E048A">
            <w:pPr>
              <w:spacing w:after="0"/>
              <w:contextualSpacing/>
              <w:jc w:val="center"/>
              <w:rPr>
                <w:rFonts w:eastAsia="Times New Roman" w:cstheme="minorHAnsi"/>
                <w:i/>
                <w:iCs/>
                <w:color w:val="000000"/>
                <w:kern w:val="24"/>
                <w:sz w:val="20"/>
                <w:szCs w:val="20"/>
              </w:rPr>
            </w:pPr>
            <w:r>
              <w:rPr>
                <w:rFonts w:eastAsia="Times New Roman" w:cstheme="minorHAnsi"/>
                <w:i/>
                <w:iCs/>
                <w:color w:val="000000"/>
                <w:kern w:val="24"/>
                <w:sz w:val="20"/>
                <w:szCs w:val="20"/>
              </w:rPr>
              <w:t>Other</w:t>
            </w:r>
          </w:p>
        </w:tc>
        <w:tc>
          <w:tcPr>
            <w:tcW w:w="4807" w:type="dxa"/>
            <w:gridSpan w:val="2"/>
            <w:shd w:val="clear" w:color="auto" w:fill="auto"/>
            <w:tcMar>
              <w:top w:w="15" w:type="dxa"/>
              <w:left w:w="111" w:type="dxa"/>
              <w:bottom w:w="0" w:type="dxa"/>
              <w:right w:w="111" w:type="dxa"/>
            </w:tcMar>
            <w:vAlign w:val="center"/>
          </w:tcPr>
          <w:p w14:paraId="19B3B9D7" w14:textId="6FC7FF87" w:rsidR="00503937" w:rsidRPr="001254D5" w:rsidDel="00782A1B" w:rsidRDefault="00503937" w:rsidP="008E048A">
            <w:pPr>
              <w:spacing w:after="0"/>
              <w:contextualSpacing/>
              <w:jc w:val="center"/>
              <w:rPr>
                <w:rFonts w:eastAsia="Times New Roman" w:cstheme="minorHAnsi"/>
                <w:i/>
                <w:iCs/>
                <w:color w:val="000000"/>
                <w:kern w:val="24"/>
                <w:sz w:val="20"/>
                <w:szCs w:val="20"/>
              </w:rPr>
            </w:pPr>
            <w:r>
              <w:rPr>
                <w:rFonts w:eastAsia="Times New Roman" w:cstheme="minorHAnsi"/>
                <w:i/>
                <w:iCs/>
                <w:color w:val="000000"/>
                <w:kern w:val="24"/>
                <w:sz w:val="20"/>
                <w:szCs w:val="20"/>
              </w:rPr>
              <w:t>Seek expert opinion</w:t>
            </w:r>
          </w:p>
        </w:tc>
      </w:tr>
      <w:tr w:rsidR="000E56FF" w:rsidRPr="001254D5" w14:paraId="7C8B0231" w14:textId="77777777" w:rsidTr="000E56FF">
        <w:trPr>
          <w:trHeight w:val="302"/>
          <w:jc w:val="center"/>
        </w:trPr>
        <w:tc>
          <w:tcPr>
            <w:tcW w:w="8231" w:type="dxa"/>
            <w:gridSpan w:val="3"/>
            <w:shd w:val="clear" w:color="auto" w:fill="auto"/>
            <w:tcMar>
              <w:top w:w="15" w:type="dxa"/>
              <w:left w:w="111" w:type="dxa"/>
              <w:bottom w:w="0" w:type="dxa"/>
              <w:right w:w="111" w:type="dxa"/>
            </w:tcMar>
            <w:vAlign w:val="center"/>
          </w:tcPr>
          <w:p w14:paraId="4D087E52" w14:textId="762A6520" w:rsidR="000E56FF" w:rsidRDefault="000E56FF" w:rsidP="000E56FF">
            <w:pPr>
              <w:spacing w:after="0"/>
              <w:contextualSpacing/>
              <w:jc w:val="both"/>
              <w:rPr>
                <w:rFonts w:eastAsia="Times New Roman" w:cstheme="minorHAnsi"/>
                <w:i/>
                <w:iCs/>
                <w:color w:val="000000"/>
                <w:kern w:val="24"/>
                <w:sz w:val="20"/>
                <w:szCs w:val="20"/>
              </w:rPr>
            </w:pPr>
            <w:r>
              <w:rPr>
                <w:rFonts w:eastAsia="Times New Roman" w:cstheme="minorHAnsi"/>
                <w:i/>
                <w:iCs/>
                <w:color w:val="000000"/>
                <w:kern w:val="24"/>
                <w:sz w:val="20"/>
                <w:szCs w:val="20"/>
              </w:rPr>
              <w:t>*</w:t>
            </w:r>
            <w:r>
              <w:t xml:space="preserve"> </w:t>
            </w:r>
            <w:r w:rsidR="007758F6" w:rsidRPr="007758F6">
              <w:rPr>
                <w:rFonts w:eastAsia="Times New Roman" w:cstheme="minorHAnsi"/>
                <w:i/>
                <w:iCs/>
                <w:color w:val="000000"/>
                <w:kern w:val="24"/>
                <w:sz w:val="20"/>
                <w:szCs w:val="20"/>
              </w:rPr>
              <w:t xml:space="preserve">Viral suppression is defined as HIV-1 RNA &lt;1,000 copies/ml from a test completed within the past 12 months. However, viral load testing should </w:t>
            </w:r>
            <w:r w:rsidR="007758F6" w:rsidRPr="007758F6">
              <w:rPr>
                <w:rFonts w:eastAsia="Times New Roman" w:cstheme="minorHAnsi"/>
                <w:i/>
                <w:iCs/>
                <w:color w:val="000000"/>
                <w:kern w:val="24"/>
                <w:sz w:val="20"/>
                <w:szCs w:val="20"/>
                <w:u w:val="single"/>
              </w:rPr>
              <w:t>not</w:t>
            </w:r>
            <w:r w:rsidR="007758F6" w:rsidRPr="007758F6">
              <w:rPr>
                <w:rFonts w:eastAsia="Times New Roman" w:cstheme="minorHAnsi"/>
                <w:i/>
                <w:iCs/>
                <w:color w:val="000000"/>
                <w:kern w:val="24"/>
                <w:sz w:val="20"/>
                <w:szCs w:val="20"/>
              </w:rPr>
              <w:t xml:space="preserve"> be a barrier to pDTG access</w:t>
            </w:r>
            <w:r w:rsidR="007758F6">
              <w:rPr>
                <w:rFonts w:eastAsia="Times New Roman" w:cstheme="minorHAnsi"/>
                <w:i/>
                <w:iCs/>
                <w:color w:val="000000"/>
                <w:kern w:val="24"/>
                <w:sz w:val="20"/>
                <w:szCs w:val="20"/>
              </w:rPr>
              <w:t>.</w:t>
            </w:r>
          </w:p>
          <w:p w14:paraId="374257A2" w14:textId="77777777" w:rsidR="000E56FF" w:rsidRDefault="000E56FF" w:rsidP="000E56FF">
            <w:pPr>
              <w:spacing w:after="0"/>
              <w:contextualSpacing/>
              <w:jc w:val="both"/>
              <w:rPr>
                <w:rFonts w:eastAsia="Times New Roman" w:cstheme="minorHAnsi"/>
                <w:i/>
                <w:iCs/>
                <w:kern w:val="24"/>
                <w:sz w:val="20"/>
                <w:szCs w:val="20"/>
              </w:rPr>
            </w:pPr>
            <w:r w:rsidRPr="000E56FF">
              <w:rPr>
                <w:rFonts w:eastAsia="Times New Roman" w:cstheme="minorHAnsi"/>
                <w:i/>
                <w:iCs/>
                <w:color w:val="000000"/>
                <w:kern w:val="24"/>
                <w:sz w:val="20"/>
                <w:szCs w:val="20"/>
              </w:rPr>
              <w:t>**</w:t>
            </w:r>
            <w:r w:rsidRPr="000E56FF">
              <w:rPr>
                <w:rFonts w:eastAsia="Times New Roman" w:cstheme="minorHAnsi"/>
                <w:i/>
                <w:iCs/>
                <w:kern w:val="24"/>
                <w:sz w:val="20"/>
                <w:szCs w:val="20"/>
              </w:rPr>
              <w:t xml:space="preserve"> </w:t>
            </w:r>
            <w:r w:rsidR="005A3BDE">
              <w:rPr>
                <w:rFonts w:eastAsia="Times New Roman" w:cstheme="minorHAnsi"/>
                <w:i/>
                <w:iCs/>
                <w:kern w:val="24"/>
                <w:sz w:val="20"/>
                <w:szCs w:val="20"/>
              </w:rPr>
              <w:t>F</w:t>
            </w:r>
            <w:r w:rsidRPr="000E56FF">
              <w:rPr>
                <w:rFonts w:eastAsia="Times New Roman" w:cstheme="minorHAnsi"/>
                <w:i/>
                <w:iCs/>
                <w:kern w:val="24"/>
                <w:sz w:val="20"/>
                <w:szCs w:val="20"/>
              </w:rPr>
              <w:t>ollowing national HIV treatment failure guidelines</w:t>
            </w:r>
            <w:r>
              <w:rPr>
                <w:rFonts w:eastAsia="Times New Roman" w:cstheme="minorHAnsi"/>
                <w:i/>
                <w:iCs/>
                <w:kern w:val="24"/>
                <w:sz w:val="20"/>
                <w:szCs w:val="20"/>
              </w:rPr>
              <w:t>.</w:t>
            </w:r>
          </w:p>
          <w:p w14:paraId="7FBC796B" w14:textId="5C7EEC58" w:rsidR="00A62E20" w:rsidRPr="000E56FF" w:rsidRDefault="00A62E20" w:rsidP="000E56FF">
            <w:pPr>
              <w:spacing w:after="0"/>
              <w:contextualSpacing/>
              <w:jc w:val="both"/>
              <w:rPr>
                <w:rFonts w:eastAsia="Times New Roman" w:cstheme="minorHAnsi"/>
                <w:i/>
                <w:iCs/>
                <w:color w:val="000000"/>
                <w:kern w:val="24"/>
                <w:sz w:val="20"/>
                <w:szCs w:val="20"/>
              </w:rPr>
            </w:pPr>
            <w:r w:rsidRPr="00A62E20">
              <w:rPr>
                <w:rFonts w:eastAsia="Times New Roman" w:cstheme="minorHAnsi"/>
                <w:b/>
                <w:bCs/>
                <w:i/>
                <w:iCs/>
                <w:color w:val="000000"/>
                <w:kern w:val="24"/>
                <w:sz w:val="20"/>
                <w:szCs w:val="20"/>
              </w:rPr>
              <w:t>Note:</w:t>
            </w:r>
            <w:r>
              <w:rPr>
                <w:rFonts w:eastAsia="Times New Roman" w:cstheme="minorHAnsi"/>
                <w:i/>
                <w:iCs/>
                <w:color w:val="000000"/>
                <w:kern w:val="24"/>
                <w:sz w:val="20"/>
                <w:szCs w:val="20"/>
              </w:rPr>
              <w:t xml:space="preserve"> Absence of </w:t>
            </w:r>
            <w:r w:rsidRPr="00A62E20">
              <w:rPr>
                <w:rFonts w:eastAsia="Times New Roman" w:cstheme="minorHAnsi"/>
                <w:i/>
                <w:iCs/>
                <w:color w:val="000000"/>
                <w:kern w:val="24"/>
                <w:sz w:val="20"/>
                <w:szCs w:val="20"/>
              </w:rPr>
              <w:t xml:space="preserve">viral load testing should </w:t>
            </w:r>
            <w:r w:rsidRPr="007758F6">
              <w:rPr>
                <w:rFonts w:eastAsia="Times New Roman" w:cstheme="minorHAnsi"/>
                <w:i/>
                <w:iCs/>
                <w:color w:val="000000"/>
                <w:kern w:val="24"/>
                <w:sz w:val="20"/>
                <w:szCs w:val="20"/>
                <w:u w:val="single"/>
              </w:rPr>
              <w:t>not</w:t>
            </w:r>
            <w:r w:rsidRPr="007758F6">
              <w:rPr>
                <w:rFonts w:eastAsia="Times New Roman" w:cstheme="minorHAnsi"/>
                <w:i/>
                <w:iCs/>
                <w:color w:val="000000"/>
                <w:kern w:val="24"/>
                <w:sz w:val="20"/>
                <w:szCs w:val="20"/>
              </w:rPr>
              <w:t xml:space="preserve"> </w:t>
            </w:r>
            <w:r w:rsidRPr="00A62E20">
              <w:rPr>
                <w:rFonts w:eastAsia="Times New Roman" w:cstheme="minorHAnsi"/>
                <w:i/>
                <w:iCs/>
                <w:color w:val="000000"/>
                <w:kern w:val="24"/>
                <w:sz w:val="20"/>
                <w:szCs w:val="20"/>
              </w:rPr>
              <w:t>be a barrier to pDTG access</w:t>
            </w:r>
            <w:r w:rsidR="00B8606F">
              <w:rPr>
                <w:rFonts w:eastAsia="Times New Roman" w:cstheme="minorHAnsi"/>
                <w:i/>
                <w:iCs/>
                <w:color w:val="000000"/>
                <w:kern w:val="24"/>
                <w:sz w:val="20"/>
                <w:szCs w:val="20"/>
              </w:rPr>
              <w:t>.</w:t>
            </w:r>
          </w:p>
        </w:tc>
      </w:tr>
    </w:tbl>
    <w:p w14:paraId="709E4248" w14:textId="77777777" w:rsidR="000E624C" w:rsidRPr="00962853" w:rsidRDefault="000E624C" w:rsidP="00370DC1">
      <w:pPr>
        <w:pStyle w:val="EndnoteText"/>
        <w:spacing w:line="276" w:lineRule="auto"/>
        <w:jc w:val="both"/>
        <w:rPr>
          <w:rFonts w:cstheme="minorHAnsi"/>
          <w:bCs/>
          <w:sz w:val="22"/>
          <w:szCs w:val="22"/>
        </w:rPr>
      </w:pPr>
    </w:p>
    <w:p w14:paraId="6D884DBB" w14:textId="2CE05A25" w:rsidR="00B04E31" w:rsidRPr="00962853" w:rsidRDefault="00B04E31" w:rsidP="00370DC1">
      <w:pPr>
        <w:pStyle w:val="Heading3"/>
        <w:numPr>
          <w:ilvl w:val="2"/>
          <w:numId w:val="23"/>
        </w:numPr>
        <w:jc w:val="both"/>
        <w:rPr>
          <w:rFonts w:asciiTheme="minorHAnsi" w:hAnsiTheme="minorHAnsi" w:cstheme="minorHAnsi"/>
        </w:rPr>
      </w:pPr>
      <w:r w:rsidRPr="00962853">
        <w:rPr>
          <w:rFonts w:asciiTheme="minorHAnsi" w:hAnsiTheme="minorHAnsi" w:cstheme="minorHAnsi"/>
        </w:rPr>
        <w:t>Initiation of New Patients</w:t>
      </w:r>
    </w:p>
    <w:p w14:paraId="15FF7300" w14:textId="5AAC7B41" w:rsidR="00C22FDC" w:rsidRPr="00962853" w:rsidRDefault="000F256B" w:rsidP="00370DC1">
      <w:pPr>
        <w:pStyle w:val="EndnoteText"/>
        <w:spacing w:line="276" w:lineRule="auto"/>
        <w:jc w:val="both"/>
        <w:rPr>
          <w:rFonts w:cstheme="minorHAnsi"/>
          <w:b/>
          <w:bCs/>
          <w:sz w:val="22"/>
          <w:szCs w:val="22"/>
        </w:rPr>
      </w:pPr>
      <w:r w:rsidRPr="00DB0313">
        <w:rPr>
          <w:rFonts w:cstheme="minorHAnsi"/>
          <w:bCs/>
          <w:sz w:val="22"/>
          <w:szCs w:val="22"/>
        </w:rPr>
        <w:t>All newly initiating children living</w:t>
      </w:r>
      <w:r w:rsidR="00E11D28">
        <w:rPr>
          <w:rFonts w:cstheme="minorHAnsi"/>
          <w:bCs/>
          <w:sz w:val="22"/>
          <w:szCs w:val="22"/>
        </w:rPr>
        <w:t xml:space="preserve"> with</w:t>
      </w:r>
      <w:r w:rsidRPr="00DB0313">
        <w:rPr>
          <w:rFonts w:cstheme="minorHAnsi"/>
          <w:bCs/>
          <w:sz w:val="22"/>
          <w:szCs w:val="22"/>
        </w:rPr>
        <w:t xml:space="preserve"> HIV on ART </w:t>
      </w:r>
      <w:r w:rsidR="00C177B8">
        <w:rPr>
          <w:rFonts w:cstheme="minorHAnsi"/>
          <w:bCs/>
          <w:sz w:val="22"/>
          <w:szCs w:val="22"/>
        </w:rPr>
        <w:t xml:space="preserve">over </w:t>
      </w:r>
      <w:r w:rsidRPr="00DB0313">
        <w:rPr>
          <w:rFonts w:cstheme="minorHAnsi"/>
          <w:bCs/>
          <w:sz w:val="22"/>
          <w:szCs w:val="22"/>
        </w:rPr>
        <w:t>4 weeks</w:t>
      </w:r>
      <w:r w:rsidR="00DB0313">
        <w:rPr>
          <w:rFonts w:cstheme="minorHAnsi"/>
          <w:bCs/>
          <w:sz w:val="22"/>
          <w:szCs w:val="22"/>
        </w:rPr>
        <w:t xml:space="preserve"> of age</w:t>
      </w:r>
      <w:r w:rsidRPr="00DB0313">
        <w:rPr>
          <w:rFonts w:cstheme="minorHAnsi"/>
          <w:bCs/>
          <w:sz w:val="22"/>
          <w:szCs w:val="22"/>
        </w:rPr>
        <w:t xml:space="preserve"> and </w:t>
      </w:r>
      <w:r w:rsidR="00DB0313">
        <w:rPr>
          <w:rFonts w:cstheme="minorHAnsi"/>
          <w:bCs/>
          <w:sz w:val="22"/>
          <w:szCs w:val="22"/>
        </w:rPr>
        <w:t xml:space="preserve">weighing </w:t>
      </w:r>
      <w:r w:rsidRPr="00DB0313">
        <w:rPr>
          <w:rFonts w:cstheme="minorHAnsi"/>
          <w:bCs/>
          <w:sz w:val="22"/>
          <w:szCs w:val="22"/>
        </w:rPr>
        <w:t xml:space="preserve">between 3-20kg should initiate on </w:t>
      </w:r>
      <w:r w:rsidR="00DB0313">
        <w:rPr>
          <w:rFonts w:cstheme="minorHAnsi"/>
          <w:bCs/>
          <w:sz w:val="22"/>
          <w:szCs w:val="22"/>
        </w:rPr>
        <w:t>p</w:t>
      </w:r>
      <w:r w:rsidRPr="00DB0313">
        <w:rPr>
          <w:rFonts w:cstheme="minorHAnsi"/>
          <w:bCs/>
          <w:sz w:val="22"/>
          <w:szCs w:val="22"/>
        </w:rPr>
        <w:t>DTG with ABC/3TC (120/60mg) dispersible scored tablets. Dosing for both products should be determined based on the child’s weight.</w:t>
      </w:r>
      <w:r w:rsidRPr="00DB0313">
        <w:rPr>
          <w:rFonts w:cstheme="minorHAnsi"/>
          <w:bCs/>
          <w:i/>
          <w:iCs/>
          <w:sz w:val="22"/>
          <w:szCs w:val="22"/>
        </w:rPr>
        <w:t xml:space="preserve">  </w:t>
      </w:r>
      <w:r w:rsidR="00962853" w:rsidRPr="003610AC">
        <w:rPr>
          <w:rFonts w:cstheme="minorHAnsi"/>
          <w:bCs/>
          <w:i/>
          <w:iCs/>
          <w:sz w:val="22"/>
          <w:szCs w:val="22"/>
          <w:highlight w:val="yellow"/>
        </w:rPr>
        <w:t>[specify strategy for new patients]</w:t>
      </w:r>
      <w:r w:rsidR="00962853" w:rsidRPr="00962853">
        <w:rPr>
          <w:rFonts w:cstheme="minorHAnsi"/>
          <w:bCs/>
          <w:sz w:val="22"/>
          <w:szCs w:val="22"/>
        </w:rPr>
        <w:t xml:space="preserve"> </w:t>
      </w:r>
    </w:p>
    <w:p w14:paraId="63EAEB06" w14:textId="093DAC39" w:rsidR="000D1425" w:rsidRDefault="000D1425" w:rsidP="00370DC1">
      <w:pPr>
        <w:pStyle w:val="EndnoteText"/>
        <w:spacing w:line="276" w:lineRule="auto"/>
        <w:jc w:val="both"/>
        <w:rPr>
          <w:rFonts w:cstheme="minorHAnsi"/>
          <w:sz w:val="22"/>
          <w:szCs w:val="22"/>
        </w:rPr>
      </w:pPr>
    </w:p>
    <w:p w14:paraId="0F62C343" w14:textId="48DA9B78" w:rsidR="002B7919" w:rsidRDefault="002B7919" w:rsidP="00370DC1">
      <w:pPr>
        <w:pStyle w:val="Heading3"/>
        <w:numPr>
          <w:ilvl w:val="2"/>
          <w:numId w:val="23"/>
        </w:numPr>
        <w:jc w:val="both"/>
        <w:rPr>
          <w:rFonts w:asciiTheme="minorHAnsi" w:hAnsiTheme="minorHAnsi" w:cstheme="minorHAnsi"/>
        </w:rPr>
      </w:pPr>
      <w:r>
        <w:rPr>
          <w:rFonts w:asciiTheme="minorHAnsi" w:hAnsiTheme="minorHAnsi" w:cstheme="minorHAnsi"/>
        </w:rPr>
        <w:t>Multi-month dispensing strategy</w:t>
      </w:r>
    </w:p>
    <w:p w14:paraId="6D5C4E88" w14:textId="17D49EC8" w:rsidR="002B7919" w:rsidRDefault="002B7919" w:rsidP="00370DC1">
      <w:pPr>
        <w:pStyle w:val="EndnoteText"/>
        <w:spacing w:line="276" w:lineRule="auto"/>
        <w:jc w:val="both"/>
        <w:rPr>
          <w:rFonts w:cstheme="minorHAnsi"/>
          <w:bCs/>
          <w:i/>
          <w:iCs/>
          <w:sz w:val="22"/>
          <w:szCs w:val="22"/>
        </w:rPr>
      </w:pPr>
      <w:r w:rsidRPr="002B7919">
        <w:rPr>
          <w:rFonts w:cstheme="minorHAnsi"/>
          <w:bCs/>
          <w:i/>
          <w:iCs/>
          <w:sz w:val="22"/>
          <w:szCs w:val="22"/>
          <w:highlight w:val="yellow"/>
        </w:rPr>
        <w:t>[</w:t>
      </w:r>
      <w:r>
        <w:rPr>
          <w:rFonts w:cstheme="minorHAnsi"/>
          <w:bCs/>
          <w:i/>
          <w:iCs/>
          <w:sz w:val="22"/>
          <w:szCs w:val="22"/>
          <w:highlight w:val="yellow"/>
        </w:rPr>
        <w:t xml:space="preserve">include country’s guidance on MMD for CLHIV, eligibility, etc.] </w:t>
      </w:r>
    </w:p>
    <w:p w14:paraId="4DE920E1" w14:textId="77777777" w:rsidR="002B7919" w:rsidRPr="00962853" w:rsidRDefault="002B7919" w:rsidP="00370DC1">
      <w:pPr>
        <w:pStyle w:val="EndnoteText"/>
        <w:spacing w:line="276" w:lineRule="auto"/>
        <w:jc w:val="both"/>
        <w:rPr>
          <w:rFonts w:cstheme="minorHAnsi"/>
          <w:sz w:val="22"/>
          <w:szCs w:val="22"/>
        </w:rPr>
      </w:pPr>
    </w:p>
    <w:p w14:paraId="464742D6" w14:textId="0C169A29" w:rsidR="00AB43BC" w:rsidRPr="00962853" w:rsidRDefault="0065730D" w:rsidP="00370DC1">
      <w:pPr>
        <w:pStyle w:val="Heading3"/>
        <w:numPr>
          <w:ilvl w:val="2"/>
          <w:numId w:val="23"/>
        </w:numPr>
        <w:jc w:val="both"/>
        <w:rPr>
          <w:rFonts w:asciiTheme="minorHAnsi" w:hAnsiTheme="minorHAnsi" w:cstheme="minorHAnsi"/>
        </w:rPr>
      </w:pPr>
      <w:r w:rsidRPr="00962853">
        <w:rPr>
          <w:rFonts w:asciiTheme="minorHAnsi" w:hAnsiTheme="minorHAnsi" w:cstheme="minorHAnsi"/>
        </w:rPr>
        <w:t>F</w:t>
      </w:r>
      <w:r w:rsidR="005A5C71" w:rsidRPr="00962853">
        <w:rPr>
          <w:rFonts w:asciiTheme="minorHAnsi" w:hAnsiTheme="minorHAnsi" w:cstheme="minorHAnsi"/>
        </w:rPr>
        <w:t>unding</w:t>
      </w:r>
      <w:r w:rsidR="00631395">
        <w:rPr>
          <w:rFonts w:asciiTheme="minorHAnsi" w:hAnsiTheme="minorHAnsi" w:cstheme="minorHAnsi"/>
        </w:rPr>
        <w:t>/ Funding</w:t>
      </w:r>
      <w:r w:rsidR="005A5C71" w:rsidRPr="00962853">
        <w:rPr>
          <w:rFonts w:asciiTheme="minorHAnsi" w:hAnsiTheme="minorHAnsi" w:cstheme="minorHAnsi"/>
        </w:rPr>
        <w:t xml:space="preserve"> Gap</w:t>
      </w:r>
    </w:p>
    <w:p w14:paraId="1B558C45" w14:textId="2FFB940A" w:rsidR="00631395" w:rsidRPr="00631395" w:rsidRDefault="00631395" w:rsidP="00370DC1">
      <w:pPr>
        <w:pStyle w:val="EndnoteText"/>
        <w:spacing w:line="276" w:lineRule="auto"/>
        <w:jc w:val="both"/>
        <w:rPr>
          <w:rFonts w:cstheme="minorHAnsi"/>
          <w:bCs/>
          <w:i/>
          <w:iCs/>
          <w:sz w:val="22"/>
          <w:szCs w:val="22"/>
        </w:rPr>
      </w:pPr>
      <w:r w:rsidRPr="002B7919">
        <w:rPr>
          <w:rFonts w:cstheme="minorHAnsi"/>
          <w:bCs/>
          <w:i/>
          <w:iCs/>
          <w:sz w:val="22"/>
          <w:szCs w:val="22"/>
          <w:highlight w:val="yellow"/>
        </w:rPr>
        <w:t>[summarize the funding strategy and any potential funding gap for pDTG]</w:t>
      </w:r>
    </w:p>
    <w:p w14:paraId="5951C729" w14:textId="3CB31DC6" w:rsidR="005519CF" w:rsidRPr="007F5C54" w:rsidRDefault="009323E0" w:rsidP="00370DC1">
      <w:pPr>
        <w:pStyle w:val="Heading1"/>
        <w:numPr>
          <w:ilvl w:val="0"/>
          <w:numId w:val="23"/>
        </w:numPr>
        <w:jc w:val="both"/>
        <w:rPr>
          <w:rFonts w:asciiTheme="minorHAnsi" w:hAnsiTheme="minorHAnsi" w:cstheme="minorHAnsi"/>
        </w:rPr>
      </w:pPr>
      <w:r w:rsidRPr="007F5C54">
        <w:rPr>
          <w:rFonts w:asciiTheme="minorHAnsi" w:hAnsiTheme="minorHAnsi" w:cstheme="minorHAnsi"/>
        </w:rPr>
        <w:t>Training</w:t>
      </w:r>
      <w:r w:rsidR="00646740" w:rsidRPr="007F5C54">
        <w:rPr>
          <w:rFonts w:asciiTheme="minorHAnsi" w:hAnsiTheme="minorHAnsi" w:cstheme="minorHAnsi"/>
        </w:rPr>
        <w:t xml:space="preserve"> P</w:t>
      </w:r>
      <w:r w:rsidR="005519CF" w:rsidRPr="007F5C54">
        <w:rPr>
          <w:rFonts w:asciiTheme="minorHAnsi" w:hAnsiTheme="minorHAnsi" w:cstheme="minorHAnsi"/>
        </w:rPr>
        <w:t>lan</w:t>
      </w:r>
    </w:p>
    <w:p w14:paraId="315245EA" w14:textId="77777777" w:rsidR="005A5C71" w:rsidRPr="00962853" w:rsidRDefault="005A5C71" w:rsidP="00370DC1">
      <w:pPr>
        <w:pStyle w:val="EndnoteText"/>
        <w:spacing w:line="276" w:lineRule="auto"/>
        <w:jc w:val="both"/>
        <w:rPr>
          <w:rFonts w:cstheme="minorHAnsi"/>
          <w:b/>
          <w:bCs/>
          <w:sz w:val="22"/>
          <w:szCs w:val="22"/>
        </w:rPr>
      </w:pPr>
    </w:p>
    <w:p w14:paraId="3C50E991" w14:textId="55677E04" w:rsidR="005519CF" w:rsidRPr="00962853" w:rsidRDefault="000157B6" w:rsidP="00370DC1">
      <w:pPr>
        <w:pStyle w:val="Heading2"/>
        <w:numPr>
          <w:ilvl w:val="1"/>
          <w:numId w:val="23"/>
        </w:numPr>
        <w:jc w:val="both"/>
        <w:rPr>
          <w:rFonts w:asciiTheme="minorHAnsi" w:hAnsiTheme="minorHAnsi" w:cstheme="minorHAnsi"/>
        </w:rPr>
      </w:pPr>
      <w:r>
        <w:rPr>
          <w:rFonts w:asciiTheme="minorHAnsi" w:hAnsiTheme="minorHAnsi" w:cstheme="minorHAnsi"/>
          <w:noProof/>
        </w:rPr>
        <w:t>Training</w:t>
      </w:r>
      <w:r w:rsidR="005519CF" w:rsidRPr="00962853">
        <w:rPr>
          <w:rFonts w:asciiTheme="minorHAnsi" w:hAnsiTheme="minorHAnsi" w:cstheme="minorHAnsi"/>
        </w:rPr>
        <w:t xml:space="preserve"> Cascade</w:t>
      </w:r>
    </w:p>
    <w:p w14:paraId="071D2510" w14:textId="6EB6F607" w:rsidR="005519CF" w:rsidRPr="00962853" w:rsidRDefault="00524ECA" w:rsidP="00370DC1">
      <w:pPr>
        <w:pStyle w:val="EndnoteText"/>
        <w:spacing w:line="276" w:lineRule="auto"/>
        <w:jc w:val="both"/>
        <w:rPr>
          <w:rFonts w:cstheme="minorHAnsi"/>
          <w:bCs/>
          <w:sz w:val="22"/>
          <w:szCs w:val="22"/>
        </w:rPr>
      </w:pPr>
      <w:r>
        <w:rPr>
          <w:rFonts w:cstheme="minorHAnsi"/>
          <w:bCs/>
          <w:sz w:val="22"/>
          <w:szCs w:val="22"/>
        </w:rPr>
        <w:t>Healthcare worker</w:t>
      </w:r>
      <w:r w:rsidR="00C65D7E">
        <w:rPr>
          <w:rFonts w:cstheme="minorHAnsi"/>
          <w:bCs/>
          <w:sz w:val="22"/>
          <w:szCs w:val="22"/>
        </w:rPr>
        <w:t xml:space="preserve"> (HCW)</w:t>
      </w:r>
      <w:r w:rsidR="005519CF" w:rsidRPr="00962853">
        <w:rPr>
          <w:rFonts w:cstheme="minorHAnsi"/>
          <w:bCs/>
          <w:sz w:val="22"/>
          <w:szCs w:val="22"/>
        </w:rPr>
        <w:t xml:space="preserve"> training should be implemented as part of a transition to a new product, even if the training is minimal. This reduces confusion and potential unintended misuse of the product. </w:t>
      </w:r>
    </w:p>
    <w:p w14:paraId="042391EF" w14:textId="77777777" w:rsidR="00C7575C" w:rsidRPr="00962853" w:rsidRDefault="00C7575C" w:rsidP="00370DC1">
      <w:pPr>
        <w:pStyle w:val="EndnoteText"/>
        <w:spacing w:line="276" w:lineRule="auto"/>
        <w:jc w:val="both"/>
        <w:rPr>
          <w:rFonts w:cstheme="minorHAnsi"/>
          <w:bCs/>
          <w:sz w:val="22"/>
          <w:szCs w:val="22"/>
        </w:rPr>
      </w:pPr>
    </w:p>
    <w:p w14:paraId="63A23D5D" w14:textId="26C00385" w:rsidR="005519CF" w:rsidRDefault="005519CF" w:rsidP="00370DC1">
      <w:pPr>
        <w:pStyle w:val="EndnoteText"/>
        <w:spacing w:line="276" w:lineRule="auto"/>
        <w:jc w:val="both"/>
        <w:rPr>
          <w:rFonts w:cstheme="minorHAnsi"/>
          <w:bCs/>
          <w:sz w:val="22"/>
          <w:szCs w:val="22"/>
        </w:rPr>
      </w:pPr>
      <w:r w:rsidRPr="00962853">
        <w:rPr>
          <w:rFonts w:cstheme="minorHAnsi"/>
          <w:bCs/>
          <w:sz w:val="22"/>
          <w:szCs w:val="22"/>
        </w:rPr>
        <w:t xml:space="preserve">In this case, </w:t>
      </w:r>
      <w:r w:rsidR="000410BB" w:rsidRPr="00451804">
        <w:rPr>
          <w:rFonts w:cstheme="minorHAnsi"/>
          <w:bCs/>
          <w:sz w:val="22"/>
          <w:szCs w:val="22"/>
        </w:rPr>
        <w:t>a</w:t>
      </w:r>
      <w:r w:rsidR="00C276F5" w:rsidRPr="00451804">
        <w:rPr>
          <w:rFonts w:cstheme="minorHAnsi"/>
          <w:bCs/>
          <w:sz w:val="22"/>
          <w:szCs w:val="22"/>
        </w:rPr>
        <w:t xml:space="preserve"> </w:t>
      </w:r>
      <w:commentRangeStart w:id="7"/>
      <w:r w:rsidR="00C276F5" w:rsidRPr="00451804">
        <w:rPr>
          <w:rFonts w:cstheme="minorHAnsi"/>
          <w:bCs/>
          <w:sz w:val="22"/>
          <w:szCs w:val="22"/>
        </w:rPr>
        <w:t xml:space="preserve">training </w:t>
      </w:r>
      <w:r w:rsidR="000410BB" w:rsidRPr="00451804">
        <w:rPr>
          <w:rFonts w:cstheme="minorHAnsi"/>
          <w:bCs/>
          <w:sz w:val="22"/>
          <w:szCs w:val="22"/>
        </w:rPr>
        <w:t>summary</w:t>
      </w:r>
      <w:r w:rsidR="000410BB" w:rsidRPr="00DB0313">
        <w:rPr>
          <w:rFonts w:cstheme="minorHAnsi"/>
          <w:bCs/>
          <w:sz w:val="22"/>
          <w:szCs w:val="22"/>
        </w:rPr>
        <w:t xml:space="preserve"> with timeline </w:t>
      </w:r>
      <w:r w:rsidR="00C276F5" w:rsidRPr="00DB0313">
        <w:rPr>
          <w:rFonts w:cstheme="minorHAnsi"/>
          <w:bCs/>
          <w:sz w:val="22"/>
          <w:szCs w:val="22"/>
        </w:rPr>
        <w:t>is show below</w:t>
      </w:r>
      <w:commentRangeEnd w:id="7"/>
      <w:r w:rsidR="00DB0313" w:rsidRPr="00DB0313">
        <w:rPr>
          <w:rStyle w:val="CommentReference"/>
        </w:rPr>
        <w:commentReference w:id="7"/>
      </w:r>
      <w:r w:rsidR="000410BB" w:rsidRPr="001254D5">
        <w:rPr>
          <w:rFonts w:cstheme="minorHAnsi"/>
          <w:bCs/>
          <w:i/>
          <w:iCs/>
          <w:sz w:val="22"/>
          <w:szCs w:val="22"/>
        </w:rPr>
        <w:t>.</w:t>
      </w:r>
      <w:r w:rsidR="000410BB" w:rsidRPr="00962853">
        <w:rPr>
          <w:rFonts w:cstheme="minorHAnsi"/>
          <w:bCs/>
          <w:sz w:val="22"/>
          <w:szCs w:val="22"/>
        </w:rPr>
        <w:t xml:space="preserve"> </w:t>
      </w:r>
      <w:r w:rsidR="0042470B">
        <w:rPr>
          <w:rFonts w:cstheme="minorHAnsi"/>
          <w:bCs/>
          <w:sz w:val="22"/>
          <w:szCs w:val="22"/>
        </w:rPr>
        <w:t>T</w:t>
      </w:r>
      <w:r w:rsidR="000410BB" w:rsidRPr="00962853">
        <w:rPr>
          <w:rFonts w:cstheme="minorHAnsi"/>
          <w:bCs/>
          <w:sz w:val="22"/>
          <w:szCs w:val="22"/>
        </w:rPr>
        <w:t xml:space="preserve">his timeline </w:t>
      </w:r>
      <w:r w:rsidR="0042470B">
        <w:rPr>
          <w:rFonts w:cstheme="minorHAnsi"/>
          <w:bCs/>
          <w:sz w:val="22"/>
          <w:szCs w:val="22"/>
        </w:rPr>
        <w:t xml:space="preserve">will be followed </w:t>
      </w:r>
      <w:r w:rsidR="000410BB" w:rsidRPr="00962853">
        <w:rPr>
          <w:rFonts w:cstheme="minorHAnsi"/>
          <w:bCs/>
          <w:sz w:val="22"/>
          <w:szCs w:val="22"/>
        </w:rPr>
        <w:t xml:space="preserve">in terms of materials development, dissemination, and </w:t>
      </w:r>
      <w:r w:rsidR="00CF5BB1">
        <w:rPr>
          <w:rFonts w:cstheme="minorHAnsi"/>
          <w:bCs/>
          <w:sz w:val="22"/>
          <w:szCs w:val="22"/>
        </w:rPr>
        <w:t>training</w:t>
      </w:r>
      <w:r w:rsidR="00CF5BB1" w:rsidRPr="00962853">
        <w:rPr>
          <w:rFonts w:cstheme="minorHAnsi"/>
          <w:bCs/>
          <w:sz w:val="22"/>
          <w:szCs w:val="22"/>
        </w:rPr>
        <w:t xml:space="preserve"> </w:t>
      </w:r>
      <w:r w:rsidR="000410BB" w:rsidRPr="00962853">
        <w:rPr>
          <w:rFonts w:cstheme="minorHAnsi"/>
          <w:bCs/>
          <w:sz w:val="22"/>
          <w:szCs w:val="22"/>
        </w:rPr>
        <w:t xml:space="preserve">nationally. </w:t>
      </w:r>
      <w:r w:rsidRPr="00962853">
        <w:rPr>
          <w:rFonts w:cstheme="minorHAnsi"/>
          <w:bCs/>
          <w:sz w:val="22"/>
          <w:szCs w:val="22"/>
        </w:rPr>
        <w:t xml:space="preserve">IPs will be expected to ensure that their facilities receive the appropriate </w:t>
      </w:r>
      <w:r w:rsidR="00151FEE">
        <w:rPr>
          <w:rFonts w:cstheme="minorHAnsi"/>
          <w:bCs/>
          <w:sz w:val="22"/>
          <w:szCs w:val="22"/>
        </w:rPr>
        <w:t>p</w:t>
      </w:r>
      <w:r w:rsidRPr="00962853">
        <w:rPr>
          <w:rFonts w:cstheme="minorHAnsi"/>
          <w:bCs/>
          <w:sz w:val="22"/>
          <w:szCs w:val="22"/>
        </w:rPr>
        <w:t xml:space="preserve">DTG </w:t>
      </w:r>
      <w:r w:rsidR="000410BB" w:rsidRPr="00962853">
        <w:rPr>
          <w:rFonts w:cstheme="minorHAnsi"/>
          <w:bCs/>
          <w:sz w:val="22"/>
          <w:szCs w:val="22"/>
        </w:rPr>
        <w:t xml:space="preserve">orientation </w:t>
      </w:r>
      <w:r w:rsidRPr="00962853">
        <w:rPr>
          <w:rFonts w:cstheme="minorHAnsi"/>
          <w:bCs/>
          <w:sz w:val="22"/>
          <w:szCs w:val="22"/>
        </w:rPr>
        <w:t xml:space="preserve">prior to </w:t>
      </w:r>
      <w:r w:rsidR="00151FEE" w:rsidRPr="00B31DB1">
        <w:rPr>
          <w:rFonts w:cstheme="minorHAnsi"/>
          <w:bCs/>
          <w:sz w:val="22"/>
          <w:szCs w:val="22"/>
          <w:highlight w:val="yellow"/>
        </w:rPr>
        <w:t>XX</w:t>
      </w:r>
      <w:r w:rsidR="00D972CE" w:rsidRPr="00B31DB1">
        <w:rPr>
          <w:rFonts w:cstheme="minorHAnsi"/>
          <w:bCs/>
          <w:sz w:val="22"/>
          <w:szCs w:val="22"/>
          <w:highlight w:val="yellow"/>
        </w:rPr>
        <w:t xml:space="preserve"> </w:t>
      </w:r>
      <w:r w:rsidRPr="00B31DB1">
        <w:rPr>
          <w:rFonts w:cstheme="minorHAnsi"/>
          <w:bCs/>
          <w:sz w:val="22"/>
          <w:szCs w:val="22"/>
          <w:highlight w:val="yellow"/>
        </w:rPr>
        <w:t>2</w:t>
      </w:r>
      <w:r w:rsidR="000410BB" w:rsidRPr="00B31DB1">
        <w:rPr>
          <w:rFonts w:cstheme="minorHAnsi"/>
          <w:bCs/>
          <w:sz w:val="22"/>
          <w:szCs w:val="22"/>
          <w:highlight w:val="yellow"/>
        </w:rPr>
        <w:t>0</w:t>
      </w:r>
      <w:r w:rsidR="00151FEE" w:rsidRPr="00B31DB1">
        <w:rPr>
          <w:rFonts w:cstheme="minorHAnsi"/>
          <w:bCs/>
          <w:sz w:val="22"/>
          <w:szCs w:val="22"/>
          <w:highlight w:val="yellow"/>
        </w:rPr>
        <w:t>2</w:t>
      </w:r>
      <w:r w:rsidR="000410BB" w:rsidRPr="00B31DB1">
        <w:rPr>
          <w:rFonts w:cstheme="minorHAnsi"/>
          <w:bCs/>
          <w:sz w:val="22"/>
          <w:szCs w:val="22"/>
          <w:highlight w:val="yellow"/>
        </w:rPr>
        <w:t>1</w:t>
      </w:r>
      <w:r w:rsidR="000410BB" w:rsidRPr="00962853">
        <w:rPr>
          <w:rFonts w:cstheme="minorHAnsi"/>
          <w:bCs/>
          <w:sz w:val="22"/>
          <w:szCs w:val="22"/>
        </w:rPr>
        <w:t xml:space="preserve"> to ensure a smooth roll-out.</w:t>
      </w:r>
      <w:r w:rsidRPr="00962853">
        <w:rPr>
          <w:rFonts w:cstheme="minorHAnsi"/>
          <w:bCs/>
          <w:sz w:val="22"/>
          <w:szCs w:val="22"/>
        </w:rPr>
        <w:t xml:space="preserve"> </w:t>
      </w:r>
    </w:p>
    <w:p w14:paraId="68DAAF14" w14:textId="79C572F3" w:rsidR="00C276F5" w:rsidRPr="00962853" w:rsidRDefault="002D6A8B" w:rsidP="00370DC1">
      <w:pPr>
        <w:pStyle w:val="EndnoteText"/>
        <w:spacing w:line="276" w:lineRule="auto"/>
        <w:jc w:val="both"/>
        <w:rPr>
          <w:rFonts w:cstheme="minorHAnsi"/>
          <w:bCs/>
          <w:sz w:val="22"/>
          <w:szCs w:val="22"/>
        </w:rPr>
      </w:pPr>
      <w:r w:rsidRPr="002D6A8B">
        <w:rPr>
          <w:noProof/>
        </w:rPr>
        <w:lastRenderedPageBreak/>
        <w:t xml:space="preserve"> </w:t>
      </w:r>
      <w:r w:rsidRPr="002D6A8B">
        <w:rPr>
          <w:rFonts w:cstheme="minorHAnsi"/>
          <w:bCs/>
          <w:noProof/>
          <w:sz w:val="22"/>
          <w:szCs w:val="22"/>
        </w:rPr>
        <w:drawing>
          <wp:inline distT="0" distB="0" distL="0" distR="0" wp14:anchorId="4A76BAAD" wp14:editId="5EC6555B">
            <wp:extent cx="5943600" cy="3961765"/>
            <wp:effectExtent l="0" t="0" r="0"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943600" cy="3961765"/>
                    </a:xfrm>
                    <a:prstGeom prst="rect">
                      <a:avLst/>
                    </a:prstGeom>
                  </pic:spPr>
                </pic:pic>
              </a:graphicData>
            </a:graphic>
          </wp:inline>
        </w:drawing>
      </w:r>
    </w:p>
    <w:p w14:paraId="6218F3D2" w14:textId="77777777" w:rsidR="00027A16" w:rsidRPr="00962853" w:rsidRDefault="00027A16" w:rsidP="00370DC1">
      <w:pPr>
        <w:pStyle w:val="EndnoteText"/>
        <w:spacing w:line="276" w:lineRule="auto"/>
        <w:jc w:val="both"/>
        <w:rPr>
          <w:rFonts w:cstheme="minorHAnsi"/>
          <w:bCs/>
          <w:sz w:val="22"/>
          <w:szCs w:val="22"/>
        </w:rPr>
      </w:pPr>
    </w:p>
    <w:p w14:paraId="724EB3BA" w14:textId="679B8AA9" w:rsidR="00C7575C" w:rsidRPr="009323E0" w:rsidRDefault="009323E0" w:rsidP="00370DC1">
      <w:pPr>
        <w:pStyle w:val="EndnoteText"/>
        <w:spacing w:line="276" w:lineRule="auto"/>
        <w:jc w:val="both"/>
        <w:rPr>
          <w:rFonts w:cstheme="minorHAnsi"/>
          <w:bCs/>
          <w:i/>
          <w:iCs/>
          <w:sz w:val="22"/>
          <w:szCs w:val="22"/>
        </w:rPr>
      </w:pPr>
      <w:r w:rsidRPr="00487F98">
        <w:rPr>
          <w:rFonts w:cstheme="minorHAnsi"/>
          <w:bCs/>
          <w:i/>
          <w:iCs/>
          <w:sz w:val="22"/>
          <w:szCs w:val="22"/>
          <w:highlight w:val="yellow"/>
        </w:rPr>
        <w:t>[potentially list the sites that will be prioritized for training according to the transition plan]</w:t>
      </w:r>
    </w:p>
    <w:p w14:paraId="5051CAC0" w14:textId="77777777" w:rsidR="005519CF" w:rsidRPr="00962853" w:rsidRDefault="005519CF" w:rsidP="00370DC1">
      <w:pPr>
        <w:pStyle w:val="EndnoteText"/>
        <w:spacing w:line="276" w:lineRule="auto"/>
        <w:jc w:val="both"/>
        <w:rPr>
          <w:rFonts w:cstheme="minorHAnsi"/>
          <w:sz w:val="22"/>
          <w:szCs w:val="22"/>
        </w:rPr>
      </w:pPr>
    </w:p>
    <w:p w14:paraId="6CDBFC0B" w14:textId="37E5105C" w:rsidR="005519CF" w:rsidRPr="00962853" w:rsidRDefault="005519CF" w:rsidP="00370DC1">
      <w:pPr>
        <w:pStyle w:val="Heading2"/>
        <w:numPr>
          <w:ilvl w:val="1"/>
          <w:numId w:val="23"/>
        </w:numPr>
        <w:jc w:val="both"/>
        <w:rPr>
          <w:rFonts w:asciiTheme="minorHAnsi" w:hAnsiTheme="minorHAnsi" w:cstheme="minorHAnsi"/>
        </w:rPr>
      </w:pPr>
      <w:r w:rsidRPr="00962853">
        <w:rPr>
          <w:rFonts w:asciiTheme="minorHAnsi" w:hAnsiTheme="minorHAnsi" w:cstheme="minorHAnsi"/>
        </w:rPr>
        <w:t xml:space="preserve">Mode of </w:t>
      </w:r>
      <w:r w:rsidR="005967DF">
        <w:rPr>
          <w:rFonts w:asciiTheme="minorHAnsi" w:hAnsiTheme="minorHAnsi" w:cstheme="minorHAnsi"/>
        </w:rPr>
        <w:t>Training</w:t>
      </w:r>
    </w:p>
    <w:p w14:paraId="696EFF47" w14:textId="2FC58E3B" w:rsidR="00A97DB5" w:rsidRPr="00A97DB5" w:rsidRDefault="00A97DB5" w:rsidP="00370DC1">
      <w:pPr>
        <w:pStyle w:val="EndnoteText"/>
        <w:spacing w:line="276" w:lineRule="auto"/>
        <w:jc w:val="both"/>
        <w:rPr>
          <w:rFonts w:cstheme="minorHAnsi"/>
          <w:bCs/>
          <w:i/>
          <w:iCs/>
          <w:sz w:val="22"/>
          <w:szCs w:val="22"/>
        </w:rPr>
      </w:pPr>
      <w:r w:rsidRPr="004B274E">
        <w:rPr>
          <w:rFonts w:cstheme="minorHAnsi"/>
          <w:bCs/>
          <w:i/>
          <w:iCs/>
          <w:sz w:val="22"/>
          <w:szCs w:val="22"/>
          <w:highlight w:val="yellow"/>
        </w:rPr>
        <w:t>[edit the below, as per context</w:t>
      </w:r>
      <w:r w:rsidR="006819B5">
        <w:rPr>
          <w:rFonts w:cstheme="minorHAnsi"/>
          <w:bCs/>
          <w:i/>
          <w:iCs/>
          <w:sz w:val="22"/>
          <w:szCs w:val="22"/>
          <w:highlight w:val="yellow"/>
        </w:rPr>
        <w:t>; should include format of trainings (Central-level training followed by facility-level, etc.), attendees, trainer details</w:t>
      </w:r>
      <w:r w:rsidR="0078468E">
        <w:rPr>
          <w:rFonts w:cstheme="minorHAnsi"/>
          <w:bCs/>
          <w:i/>
          <w:iCs/>
          <w:sz w:val="22"/>
          <w:szCs w:val="22"/>
          <w:highlight w:val="yellow"/>
        </w:rPr>
        <w:t>, COVID-19 considerations</w:t>
      </w:r>
      <w:r w:rsidRPr="004B274E">
        <w:rPr>
          <w:rFonts w:cstheme="minorHAnsi"/>
          <w:bCs/>
          <w:i/>
          <w:iCs/>
          <w:sz w:val="22"/>
          <w:szCs w:val="22"/>
          <w:highlight w:val="yellow"/>
        </w:rPr>
        <w:t>]</w:t>
      </w:r>
    </w:p>
    <w:p w14:paraId="4E611919" w14:textId="2DE51614" w:rsidR="00DD37A1" w:rsidRPr="00962853" w:rsidRDefault="00DD37A1" w:rsidP="00370DC1">
      <w:pPr>
        <w:pStyle w:val="EndnoteText"/>
        <w:spacing w:line="276" w:lineRule="auto"/>
        <w:jc w:val="both"/>
        <w:rPr>
          <w:rFonts w:cstheme="minorHAnsi"/>
          <w:bCs/>
          <w:sz w:val="22"/>
          <w:szCs w:val="22"/>
        </w:rPr>
      </w:pPr>
      <w:r w:rsidRPr="006819B5">
        <w:rPr>
          <w:rFonts w:cstheme="minorHAnsi"/>
          <w:bCs/>
          <w:sz w:val="22"/>
          <w:szCs w:val="22"/>
          <w:highlight w:val="yellow"/>
        </w:rPr>
        <w:t xml:space="preserve">The initial </w:t>
      </w:r>
      <w:r w:rsidR="000410BB" w:rsidRPr="006819B5">
        <w:rPr>
          <w:rFonts w:cstheme="minorHAnsi"/>
          <w:bCs/>
          <w:sz w:val="22"/>
          <w:szCs w:val="22"/>
          <w:highlight w:val="yellow"/>
        </w:rPr>
        <w:t>orientation</w:t>
      </w:r>
      <w:r w:rsidRPr="006819B5">
        <w:rPr>
          <w:rFonts w:cstheme="minorHAnsi"/>
          <w:bCs/>
          <w:sz w:val="22"/>
          <w:szCs w:val="22"/>
          <w:highlight w:val="yellow"/>
        </w:rPr>
        <w:t xml:space="preserve"> will be done at a Central </w:t>
      </w:r>
      <w:r w:rsidR="004B274E" w:rsidRPr="006819B5">
        <w:rPr>
          <w:rFonts w:cstheme="minorHAnsi"/>
          <w:bCs/>
          <w:sz w:val="22"/>
          <w:szCs w:val="22"/>
          <w:highlight w:val="yellow"/>
        </w:rPr>
        <w:t xml:space="preserve">Training </w:t>
      </w:r>
      <w:r w:rsidR="008211E0" w:rsidRPr="006819B5">
        <w:rPr>
          <w:rFonts w:cstheme="minorHAnsi"/>
          <w:bCs/>
          <w:sz w:val="22"/>
          <w:szCs w:val="22"/>
          <w:highlight w:val="yellow"/>
        </w:rPr>
        <w:t xml:space="preserve">for IPs which will involve </w:t>
      </w:r>
      <w:r w:rsidR="00A97DB5" w:rsidRPr="006819B5">
        <w:rPr>
          <w:rFonts w:cstheme="minorHAnsi"/>
          <w:bCs/>
          <w:sz w:val="22"/>
          <w:szCs w:val="22"/>
          <w:highlight w:val="yellow"/>
        </w:rPr>
        <w:t>X</w:t>
      </w:r>
      <w:r w:rsidR="008211E0" w:rsidRPr="006819B5">
        <w:rPr>
          <w:rFonts w:cstheme="minorHAnsi"/>
          <w:bCs/>
          <w:sz w:val="22"/>
          <w:szCs w:val="22"/>
          <w:highlight w:val="yellow"/>
        </w:rPr>
        <w:t>-</w:t>
      </w:r>
      <w:r w:rsidR="00A97DB5" w:rsidRPr="006819B5">
        <w:rPr>
          <w:rFonts w:cstheme="minorHAnsi"/>
          <w:bCs/>
          <w:sz w:val="22"/>
          <w:szCs w:val="22"/>
          <w:highlight w:val="yellow"/>
        </w:rPr>
        <w:t>Y</w:t>
      </w:r>
      <w:r w:rsidR="008211E0" w:rsidRPr="006819B5">
        <w:rPr>
          <w:rFonts w:cstheme="minorHAnsi"/>
          <w:bCs/>
          <w:sz w:val="22"/>
          <w:szCs w:val="22"/>
          <w:highlight w:val="yellow"/>
        </w:rPr>
        <w:t xml:space="preserve"> personnel</w:t>
      </w:r>
      <w:r w:rsidR="004A661F" w:rsidRPr="006819B5">
        <w:rPr>
          <w:rFonts w:cstheme="minorHAnsi"/>
          <w:bCs/>
          <w:sz w:val="22"/>
          <w:szCs w:val="22"/>
          <w:highlight w:val="yellow"/>
        </w:rPr>
        <w:t xml:space="preserve"> </w:t>
      </w:r>
      <w:r w:rsidR="004A661F" w:rsidRPr="003B4754">
        <w:rPr>
          <w:rFonts w:cstheme="minorHAnsi"/>
          <w:bCs/>
          <w:i/>
          <w:iCs/>
          <w:sz w:val="22"/>
          <w:szCs w:val="22"/>
          <w:highlight w:val="yellow"/>
        </w:rPr>
        <w:t>[</w:t>
      </w:r>
      <w:r w:rsidR="004B274E" w:rsidRPr="003B4754">
        <w:rPr>
          <w:rFonts w:cstheme="minorHAnsi"/>
          <w:bCs/>
          <w:i/>
          <w:iCs/>
          <w:sz w:val="22"/>
          <w:szCs w:val="22"/>
          <w:highlight w:val="yellow"/>
        </w:rPr>
        <w:t>i</w:t>
      </w:r>
      <w:r w:rsidR="004A661F" w:rsidRPr="003B4754">
        <w:rPr>
          <w:rFonts w:cstheme="minorHAnsi"/>
          <w:bCs/>
          <w:i/>
          <w:iCs/>
          <w:sz w:val="22"/>
          <w:szCs w:val="22"/>
          <w:highlight w:val="yellow"/>
        </w:rPr>
        <w:t>nsert those responsible for delivering the training and the intended attendees]</w:t>
      </w:r>
      <w:r w:rsidR="008211E0" w:rsidRPr="003B4754">
        <w:rPr>
          <w:rFonts w:cstheme="minorHAnsi"/>
          <w:bCs/>
          <w:i/>
          <w:iCs/>
          <w:sz w:val="22"/>
          <w:szCs w:val="22"/>
          <w:highlight w:val="yellow"/>
        </w:rPr>
        <w:t xml:space="preserve"> </w:t>
      </w:r>
      <w:r w:rsidR="008211E0" w:rsidRPr="006819B5">
        <w:rPr>
          <w:rFonts w:cstheme="minorHAnsi"/>
          <w:bCs/>
          <w:sz w:val="22"/>
          <w:szCs w:val="22"/>
          <w:highlight w:val="yellow"/>
        </w:rPr>
        <w:t>from each IP depending on the size of the IP and number of facilities supported.</w:t>
      </w:r>
      <w:r w:rsidRPr="006819B5">
        <w:rPr>
          <w:rFonts w:cstheme="minorHAnsi"/>
          <w:bCs/>
          <w:sz w:val="22"/>
          <w:szCs w:val="22"/>
          <w:highlight w:val="yellow"/>
        </w:rPr>
        <w:t xml:space="preserve"> The central level </w:t>
      </w:r>
      <w:r w:rsidR="000410BB" w:rsidRPr="006819B5">
        <w:rPr>
          <w:rFonts w:cstheme="minorHAnsi"/>
          <w:bCs/>
          <w:sz w:val="22"/>
          <w:szCs w:val="22"/>
          <w:highlight w:val="yellow"/>
        </w:rPr>
        <w:t>orientations</w:t>
      </w:r>
      <w:r w:rsidRPr="006819B5">
        <w:rPr>
          <w:rFonts w:cstheme="minorHAnsi"/>
          <w:bCs/>
          <w:sz w:val="22"/>
          <w:szCs w:val="22"/>
          <w:highlight w:val="yellow"/>
        </w:rPr>
        <w:t xml:space="preserve"> will be conducted by Ministry of Health personnel with support from CHAI. Each IP will then be responsible for </w:t>
      </w:r>
      <w:r w:rsidR="000410BB" w:rsidRPr="006819B5">
        <w:rPr>
          <w:rFonts w:cstheme="minorHAnsi"/>
          <w:bCs/>
          <w:sz w:val="22"/>
          <w:szCs w:val="22"/>
          <w:highlight w:val="yellow"/>
        </w:rPr>
        <w:t>orientating</w:t>
      </w:r>
      <w:r w:rsidRPr="006819B5">
        <w:rPr>
          <w:rFonts w:cstheme="minorHAnsi"/>
          <w:bCs/>
          <w:sz w:val="22"/>
          <w:szCs w:val="22"/>
          <w:highlight w:val="yellow"/>
        </w:rPr>
        <w:t xml:space="preserve"> their respective sites and ensuring proper mentorship to support the </w:t>
      </w:r>
      <w:r w:rsidRPr="006819B5">
        <w:rPr>
          <w:rFonts w:cstheme="minorHAnsi"/>
          <w:bCs/>
          <w:i/>
          <w:iCs/>
          <w:sz w:val="22"/>
          <w:szCs w:val="22"/>
          <w:highlight w:val="yellow"/>
        </w:rPr>
        <w:t>Guidelines Circular</w:t>
      </w:r>
      <w:r w:rsidRPr="006819B5">
        <w:rPr>
          <w:rFonts w:cstheme="minorHAnsi"/>
          <w:bCs/>
          <w:sz w:val="22"/>
          <w:szCs w:val="22"/>
          <w:highlight w:val="yellow"/>
        </w:rPr>
        <w:t xml:space="preserve"> that will be issued. The facility</w:t>
      </w:r>
      <w:r w:rsidR="00A97DB5" w:rsidRPr="006819B5">
        <w:rPr>
          <w:rFonts w:cstheme="minorHAnsi"/>
          <w:bCs/>
          <w:sz w:val="22"/>
          <w:szCs w:val="22"/>
          <w:highlight w:val="yellow"/>
        </w:rPr>
        <w:t>-</w:t>
      </w:r>
      <w:r w:rsidRPr="006819B5">
        <w:rPr>
          <w:rFonts w:cstheme="minorHAnsi"/>
          <w:bCs/>
          <w:sz w:val="22"/>
          <w:szCs w:val="22"/>
          <w:highlight w:val="yellow"/>
        </w:rPr>
        <w:t xml:space="preserve">based </w:t>
      </w:r>
      <w:r w:rsidR="000410BB" w:rsidRPr="006819B5">
        <w:rPr>
          <w:rFonts w:cstheme="minorHAnsi"/>
          <w:bCs/>
          <w:sz w:val="22"/>
          <w:szCs w:val="22"/>
          <w:highlight w:val="yellow"/>
        </w:rPr>
        <w:t>orientations</w:t>
      </w:r>
      <w:r w:rsidRPr="006819B5">
        <w:rPr>
          <w:rFonts w:cstheme="minorHAnsi"/>
          <w:bCs/>
          <w:sz w:val="22"/>
          <w:szCs w:val="22"/>
          <w:highlight w:val="yellow"/>
        </w:rPr>
        <w:t xml:space="preserve"> will be conducted by the trained IP personnel and Ministry of Health Resource persons</w:t>
      </w:r>
      <w:r w:rsidRPr="0084062F">
        <w:rPr>
          <w:rFonts w:cstheme="minorHAnsi"/>
          <w:bCs/>
          <w:sz w:val="22"/>
          <w:szCs w:val="22"/>
          <w:highlight w:val="yellow"/>
        </w:rPr>
        <w:t>.</w:t>
      </w:r>
    </w:p>
    <w:p w14:paraId="7E0CAB85" w14:textId="7C488755" w:rsidR="00DD37A1" w:rsidRDefault="00DD37A1" w:rsidP="00370DC1">
      <w:pPr>
        <w:pStyle w:val="EndnoteText"/>
        <w:spacing w:line="276" w:lineRule="auto"/>
        <w:jc w:val="both"/>
        <w:rPr>
          <w:rFonts w:cstheme="minorHAnsi"/>
          <w:bCs/>
          <w:sz w:val="22"/>
          <w:szCs w:val="22"/>
        </w:rPr>
      </w:pPr>
    </w:p>
    <w:p w14:paraId="1A289E85" w14:textId="0FFA01E2" w:rsidR="0084062F" w:rsidRDefault="0084062F" w:rsidP="00370DC1">
      <w:pPr>
        <w:pStyle w:val="EndnoteText"/>
        <w:spacing w:line="276" w:lineRule="auto"/>
        <w:jc w:val="both"/>
        <w:rPr>
          <w:rFonts w:cstheme="minorHAnsi"/>
          <w:bCs/>
          <w:sz w:val="22"/>
          <w:szCs w:val="22"/>
        </w:rPr>
      </w:pPr>
      <w:r w:rsidRPr="0084062F">
        <w:rPr>
          <w:rFonts w:cstheme="minorHAnsi"/>
          <w:bCs/>
          <w:sz w:val="22"/>
          <w:szCs w:val="22"/>
          <w:highlight w:val="yellow"/>
        </w:rPr>
        <w:t>While the intention is to conduct in-person trainings, the format of training might change in light of Covid-19 restrictions in the country.</w:t>
      </w:r>
      <w:r>
        <w:rPr>
          <w:rFonts w:cstheme="minorHAnsi"/>
          <w:bCs/>
          <w:sz w:val="22"/>
          <w:szCs w:val="22"/>
        </w:rPr>
        <w:t xml:space="preserve"> </w:t>
      </w:r>
    </w:p>
    <w:p w14:paraId="0526F566" w14:textId="77777777" w:rsidR="002A0A16" w:rsidRPr="00962853" w:rsidRDefault="002A0A16" w:rsidP="00370DC1">
      <w:pPr>
        <w:pStyle w:val="EndnoteText"/>
        <w:spacing w:line="276" w:lineRule="auto"/>
        <w:jc w:val="both"/>
        <w:rPr>
          <w:rFonts w:cstheme="minorHAnsi"/>
          <w:bCs/>
          <w:sz w:val="22"/>
          <w:szCs w:val="22"/>
        </w:rPr>
      </w:pPr>
    </w:p>
    <w:p w14:paraId="471D0C8B" w14:textId="488CC559" w:rsidR="00DD37A1" w:rsidRPr="00962853" w:rsidRDefault="000410BB" w:rsidP="00370DC1">
      <w:pPr>
        <w:pStyle w:val="EndnoteText"/>
        <w:spacing w:line="276" w:lineRule="auto"/>
        <w:jc w:val="both"/>
        <w:rPr>
          <w:rFonts w:cstheme="minorHAnsi"/>
          <w:bCs/>
          <w:sz w:val="22"/>
          <w:szCs w:val="22"/>
        </w:rPr>
      </w:pPr>
      <w:r w:rsidRPr="00962853">
        <w:rPr>
          <w:rFonts w:cstheme="minorHAnsi"/>
          <w:bCs/>
          <w:sz w:val="22"/>
          <w:szCs w:val="22"/>
        </w:rPr>
        <w:t>Orientation</w:t>
      </w:r>
      <w:r w:rsidR="00EC14C5" w:rsidRPr="00962853">
        <w:rPr>
          <w:rFonts w:cstheme="minorHAnsi"/>
          <w:bCs/>
          <w:sz w:val="22"/>
          <w:szCs w:val="22"/>
        </w:rPr>
        <w:t xml:space="preserve"> materials will </w:t>
      </w:r>
      <w:r w:rsidR="00DD37A1" w:rsidRPr="00962853">
        <w:rPr>
          <w:rFonts w:cstheme="minorHAnsi"/>
          <w:bCs/>
          <w:sz w:val="22"/>
          <w:szCs w:val="22"/>
        </w:rPr>
        <w:t xml:space="preserve">include a </w:t>
      </w:r>
      <w:r w:rsidR="00DD37A1" w:rsidRPr="0084062F">
        <w:rPr>
          <w:rFonts w:cstheme="minorHAnsi"/>
          <w:bCs/>
          <w:sz w:val="22"/>
          <w:szCs w:val="22"/>
          <w:highlight w:val="yellow"/>
        </w:rPr>
        <w:t>power</w:t>
      </w:r>
      <w:r w:rsidR="0065130E" w:rsidRPr="0084062F">
        <w:rPr>
          <w:rFonts w:cstheme="minorHAnsi"/>
          <w:bCs/>
          <w:sz w:val="22"/>
          <w:szCs w:val="22"/>
          <w:highlight w:val="yellow"/>
        </w:rPr>
        <w:t xml:space="preserve"> </w:t>
      </w:r>
      <w:r w:rsidR="00DD37A1" w:rsidRPr="0084062F">
        <w:rPr>
          <w:rFonts w:cstheme="minorHAnsi"/>
          <w:bCs/>
          <w:sz w:val="22"/>
          <w:szCs w:val="22"/>
          <w:highlight w:val="yellow"/>
        </w:rPr>
        <w:t>point presentation</w:t>
      </w:r>
      <w:r w:rsidR="00DC1DC7" w:rsidRPr="0084062F">
        <w:rPr>
          <w:rFonts w:cstheme="minorHAnsi"/>
          <w:bCs/>
          <w:sz w:val="22"/>
          <w:szCs w:val="22"/>
          <w:highlight w:val="yellow"/>
        </w:rPr>
        <w:t xml:space="preserve">, </w:t>
      </w:r>
      <w:r w:rsidR="004D029A" w:rsidRPr="0084062F">
        <w:rPr>
          <w:rFonts w:cstheme="minorHAnsi"/>
          <w:bCs/>
          <w:sz w:val="22"/>
          <w:szCs w:val="22"/>
          <w:highlight w:val="yellow"/>
        </w:rPr>
        <w:t>flip chart,</w:t>
      </w:r>
      <w:r w:rsidR="00DC1DC7" w:rsidRPr="0084062F">
        <w:rPr>
          <w:rFonts w:cstheme="minorHAnsi"/>
          <w:bCs/>
          <w:sz w:val="22"/>
          <w:szCs w:val="22"/>
          <w:highlight w:val="yellow"/>
        </w:rPr>
        <w:t xml:space="preserve"> and </w:t>
      </w:r>
      <w:r w:rsidR="00A97DB5" w:rsidRPr="0084062F">
        <w:rPr>
          <w:rFonts w:cstheme="minorHAnsi"/>
          <w:bCs/>
          <w:sz w:val="22"/>
          <w:szCs w:val="22"/>
          <w:highlight w:val="yellow"/>
        </w:rPr>
        <w:t>d</w:t>
      </w:r>
      <w:r w:rsidR="00DC1DC7" w:rsidRPr="0084062F">
        <w:rPr>
          <w:rFonts w:cstheme="minorHAnsi"/>
          <w:bCs/>
          <w:sz w:val="22"/>
          <w:szCs w:val="22"/>
          <w:highlight w:val="yellow"/>
        </w:rPr>
        <w:t xml:space="preserve">esktop </w:t>
      </w:r>
      <w:r w:rsidR="00A97DB5" w:rsidRPr="0084062F">
        <w:rPr>
          <w:rFonts w:cstheme="minorHAnsi"/>
          <w:bCs/>
          <w:sz w:val="22"/>
          <w:szCs w:val="22"/>
          <w:highlight w:val="yellow"/>
        </w:rPr>
        <w:t>j</w:t>
      </w:r>
      <w:r w:rsidR="00DC1DC7" w:rsidRPr="0084062F">
        <w:rPr>
          <w:rFonts w:cstheme="minorHAnsi"/>
          <w:bCs/>
          <w:sz w:val="22"/>
          <w:szCs w:val="22"/>
          <w:highlight w:val="yellow"/>
        </w:rPr>
        <w:t xml:space="preserve">ob </w:t>
      </w:r>
      <w:r w:rsidR="00A97DB5" w:rsidRPr="0084062F">
        <w:rPr>
          <w:rFonts w:cstheme="minorHAnsi"/>
          <w:bCs/>
          <w:sz w:val="22"/>
          <w:szCs w:val="22"/>
          <w:highlight w:val="yellow"/>
        </w:rPr>
        <w:t>a</w:t>
      </w:r>
      <w:r w:rsidR="00DC1DC7" w:rsidRPr="0084062F">
        <w:rPr>
          <w:rFonts w:cstheme="minorHAnsi"/>
          <w:bCs/>
          <w:sz w:val="22"/>
          <w:szCs w:val="22"/>
          <w:highlight w:val="yellow"/>
        </w:rPr>
        <w:t>id</w:t>
      </w:r>
      <w:r w:rsidR="008211E0" w:rsidRPr="00962853">
        <w:rPr>
          <w:rFonts w:cstheme="minorHAnsi"/>
          <w:bCs/>
          <w:sz w:val="22"/>
          <w:szCs w:val="22"/>
        </w:rPr>
        <w:t xml:space="preserve">. </w:t>
      </w:r>
    </w:p>
    <w:p w14:paraId="40771AD2" w14:textId="77777777" w:rsidR="00B86F75" w:rsidRPr="00962853" w:rsidRDefault="00B86F75" w:rsidP="00370DC1">
      <w:pPr>
        <w:pStyle w:val="EndnoteText"/>
        <w:spacing w:line="276" w:lineRule="auto"/>
        <w:jc w:val="both"/>
        <w:rPr>
          <w:rFonts w:cstheme="minorHAnsi"/>
          <w:bCs/>
          <w:sz w:val="22"/>
          <w:szCs w:val="22"/>
        </w:rPr>
      </w:pPr>
    </w:p>
    <w:p w14:paraId="344CBA77" w14:textId="7B4234E3" w:rsidR="00B86F75" w:rsidRPr="00962853" w:rsidRDefault="00B86F75" w:rsidP="00370DC1">
      <w:pPr>
        <w:pStyle w:val="Heading2"/>
        <w:numPr>
          <w:ilvl w:val="1"/>
          <w:numId w:val="23"/>
        </w:numPr>
        <w:jc w:val="both"/>
        <w:rPr>
          <w:rFonts w:asciiTheme="minorHAnsi" w:hAnsiTheme="minorHAnsi" w:cstheme="minorHAnsi"/>
        </w:rPr>
      </w:pPr>
      <w:r w:rsidRPr="00962853">
        <w:rPr>
          <w:rFonts w:asciiTheme="minorHAnsi" w:hAnsiTheme="minorHAnsi" w:cstheme="minorHAnsi"/>
        </w:rPr>
        <w:lastRenderedPageBreak/>
        <w:t>Key Communication Documents</w:t>
      </w:r>
    </w:p>
    <w:p w14:paraId="40C9BAC5" w14:textId="3B8C6688" w:rsidR="00B84955" w:rsidRPr="00B84955" w:rsidRDefault="00B84955" w:rsidP="00370DC1">
      <w:pPr>
        <w:pStyle w:val="EndnoteText"/>
        <w:spacing w:line="276" w:lineRule="auto"/>
        <w:jc w:val="both"/>
        <w:rPr>
          <w:rFonts w:cstheme="minorHAnsi"/>
          <w:bCs/>
          <w:i/>
          <w:iCs/>
          <w:sz w:val="22"/>
          <w:szCs w:val="22"/>
        </w:rPr>
      </w:pPr>
      <w:r w:rsidRPr="00D53FBA">
        <w:rPr>
          <w:rFonts w:cstheme="minorHAnsi"/>
          <w:bCs/>
          <w:i/>
          <w:iCs/>
          <w:sz w:val="22"/>
          <w:szCs w:val="22"/>
          <w:highlight w:val="yellow"/>
        </w:rPr>
        <w:t xml:space="preserve">[list all the documents that the MOH intends to </w:t>
      </w:r>
      <w:r w:rsidR="005B4B29" w:rsidRPr="00D53FBA">
        <w:rPr>
          <w:rFonts w:cstheme="minorHAnsi"/>
          <w:bCs/>
          <w:i/>
          <w:iCs/>
          <w:sz w:val="22"/>
          <w:szCs w:val="22"/>
          <w:highlight w:val="yellow"/>
        </w:rPr>
        <w:t>disseminate,</w:t>
      </w:r>
      <w:r w:rsidRPr="00D53FBA">
        <w:rPr>
          <w:rFonts w:cstheme="minorHAnsi"/>
          <w:bCs/>
          <w:i/>
          <w:iCs/>
          <w:sz w:val="22"/>
          <w:szCs w:val="22"/>
          <w:highlight w:val="yellow"/>
        </w:rPr>
        <w:t xml:space="preserve"> examples below]</w:t>
      </w:r>
    </w:p>
    <w:p w14:paraId="7E9A2857" w14:textId="7410E1B1" w:rsidR="00B86F75" w:rsidRPr="0098117C" w:rsidRDefault="00B86F75" w:rsidP="00370DC1">
      <w:pPr>
        <w:pStyle w:val="EndnoteText"/>
        <w:spacing w:line="276" w:lineRule="auto"/>
        <w:jc w:val="both"/>
        <w:rPr>
          <w:rFonts w:cstheme="minorHAnsi"/>
          <w:bCs/>
          <w:sz w:val="22"/>
          <w:szCs w:val="22"/>
        </w:rPr>
      </w:pPr>
      <w:r w:rsidRPr="0098117C">
        <w:rPr>
          <w:rFonts w:cstheme="minorHAnsi"/>
          <w:bCs/>
          <w:sz w:val="22"/>
          <w:szCs w:val="22"/>
        </w:rPr>
        <w:t xml:space="preserve">The Ministry will </w:t>
      </w:r>
      <w:r w:rsidR="009858DA" w:rsidRPr="0098117C">
        <w:rPr>
          <w:rFonts w:cstheme="minorHAnsi"/>
          <w:bCs/>
          <w:sz w:val="22"/>
          <w:szCs w:val="22"/>
        </w:rPr>
        <w:t>disseminate</w:t>
      </w:r>
      <w:r w:rsidRPr="0098117C">
        <w:rPr>
          <w:rFonts w:cstheme="minorHAnsi"/>
          <w:bCs/>
          <w:sz w:val="22"/>
          <w:szCs w:val="22"/>
        </w:rPr>
        <w:t xml:space="preserve"> the following </w:t>
      </w:r>
      <w:commentRangeStart w:id="8"/>
      <w:r w:rsidR="007F5C54">
        <w:rPr>
          <w:rFonts w:cstheme="minorHAnsi"/>
          <w:bCs/>
          <w:sz w:val="22"/>
          <w:szCs w:val="22"/>
        </w:rPr>
        <w:t>materials</w:t>
      </w:r>
      <w:commentRangeEnd w:id="8"/>
      <w:r w:rsidR="003B4754">
        <w:rPr>
          <w:rStyle w:val="CommentReference"/>
        </w:rPr>
        <w:commentReference w:id="8"/>
      </w:r>
      <w:r w:rsidRPr="0098117C">
        <w:rPr>
          <w:rFonts w:cstheme="minorHAnsi"/>
          <w:bCs/>
          <w:sz w:val="22"/>
          <w:szCs w:val="22"/>
        </w:rPr>
        <w:t>:</w:t>
      </w:r>
    </w:p>
    <w:p w14:paraId="7B0A8BE3" w14:textId="77777777" w:rsidR="008211E0" w:rsidRPr="0098117C" w:rsidRDefault="008211E0" w:rsidP="00370DC1">
      <w:pPr>
        <w:pStyle w:val="EndnoteText"/>
        <w:spacing w:line="276" w:lineRule="auto"/>
        <w:jc w:val="both"/>
        <w:rPr>
          <w:rFonts w:cstheme="minorHAnsi"/>
          <w:bCs/>
          <w:sz w:val="22"/>
          <w:szCs w:val="22"/>
        </w:rPr>
      </w:pPr>
    </w:p>
    <w:p w14:paraId="0B7D2E1E" w14:textId="06340034" w:rsidR="008211E0" w:rsidRPr="0098117C" w:rsidRDefault="0019572A" w:rsidP="00370DC1">
      <w:pPr>
        <w:pStyle w:val="EndnoteText"/>
        <w:numPr>
          <w:ilvl w:val="0"/>
          <w:numId w:val="33"/>
        </w:numPr>
        <w:spacing w:line="276" w:lineRule="auto"/>
        <w:jc w:val="both"/>
        <w:rPr>
          <w:rFonts w:cstheme="minorHAnsi"/>
          <w:bCs/>
          <w:sz w:val="22"/>
          <w:szCs w:val="22"/>
        </w:rPr>
      </w:pPr>
      <w:r w:rsidRPr="0098117C">
        <w:rPr>
          <w:rFonts w:cstheme="minorHAnsi"/>
          <w:bCs/>
          <w:sz w:val="22"/>
          <w:szCs w:val="22"/>
        </w:rPr>
        <w:t xml:space="preserve">Updated </w:t>
      </w:r>
      <w:r w:rsidR="00B86F75" w:rsidRPr="0098117C">
        <w:rPr>
          <w:rFonts w:cstheme="minorHAnsi"/>
          <w:bCs/>
          <w:sz w:val="22"/>
          <w:szCs w:val="22"/>
        </w:rPr>
        <w:t xml:space="preserve">HIV Guidelines </w:t>
      </w:r>
      <w:r w:rsidRPr="0098117C">
        <w:rPr>
          <w:rFonts w:cstheme="minorHAnsi"/>
          <w:bCs/>
          <w:sz w:val="22"/>
          <w:szCs w:val="22"/>
        </w:rPr>
        <w:t>and</w:t>
      </w:r>
      <w:r w:rsidR="00B86F75" w:rsidRPr="0098117C">
        <w:rPr>
          <w:rFonts w:cstheme="minorHAnsi"/>
          <w:bCs/>
          <w:sz w:val="22"/>
          <w:szCs w:val="22"/>
        </w:rPr>
        <w:t xml:space="preserve"> Circular </w:t>
      </w:r>
      <w:r w:rsidR="00B86F75" w:rsidRPr="0098117C">
        <w:rPr>
          <w:rFonts w:ascii="Wingdings" w:eastAsia="Wingdings" w:hAnsi="Wingdings" w:cstheme="minorHAnsi"/>
          <w:bCs/>
          <w:sz w:val="22"/>
          <w:szCs w:val="22"/>
        </w:rPr>
        <w:t>à</w:t>
      </w:r>
      <w:r w:rsidR="00B86F75" w:rsidRPr="0098117C">
        <w:rPr>
          <w:rFonts w:cstheme="minorHAnsi"/>
          <w:bCs/>
          <w:sz w:val="22"/>
          <w:szCs w:val="22"/>
        </w:rPr>
        <w:t xml:space="preserve"> </w:t>
      </w:r>
      <w:r w:rsidR="00EF38F0" w:rsidRPr="0098117C">
        <w:rPr>
          <w:rFonts w:cstheme="minorHAnsi"/>
          <w:bCs/>
          <w:sz w:val="22"/>
          <w:szCs w:val="22"/>
        </w:rPr>
        <w:t>reprint and dissemination of the updated HIV Guidelines which includes a section highlighting all key changes</w:t>
      </w:r>
      <w:r w:rsidR="000410BB" w:rsidRPr="0098117C">
        <w:rPr>
          <w:rFonts w:cstheme="minorHAnsi"/>
          <w:bCs/>
          <w:sz w:val="22"/>
          <w:szCs w:val="22"/>
        </w:rPr>
        <w:t xml:space="preserve"> allowing facilities to plan</w:t>
      </w:r>
      <w:r w:rsidR="00EF38F0" w:rsidRPr="0098117C">
        <w:rPr>
          <w:rFonts w:cstheme="minorHAnsi"/>
          <w:bCs/>
          <w:sz w:val="22"/>
          <w:szCs w:val="22"/>
        </w:rPr>
        <w:t xml:space="preserve"> (of which the </w:t>
      </w:r>
      <w:r w:rsidR="00E726A2" w:rsidRPr="0098117C">
        <w:rPr>
          <w:rFonts w:cstheme="minorHAnsi"/>
          <w:bCs/>
          <w:sz w:val="22"/>
          <w:szCs w:val="22"/>
        </w:rPr>
        <w:t>orientations</w:t>
      </w:r>
      <w:r w:rsidR="00EF38F0" w:rsidRPr="0098117C">
        <w:rPr>
          <w:rFonts w:cstheme="minorHAnsi"/>
          <w:bCs/>
          <w:sz w:val="22"/>
          <w:szCs w:val="22"/>
        </w:rPr>
        <w:t xml:space="preserve"> will focus)</w:t>
      </w:r>
      <w:r w:rsidR="00B86F75" w:rsidRPr="0098117C">
        <w:rPr>
          <w:rFonts w:cstheme="minorHAnsi"/>
          <w:bCs/>
          <w:sz w:val="22"/>
          <w:szCs w:val="22"/>
        </w:rPr>
        <w:t xml:space="preserve"> </w:t>
      </w:r>
    </w:p>
    <w:p w14:paraId="40A3956F" w14:textId="65B8C372" w:rsidR="008211E0" w:rsidRPr="0098117C" w:rsidRDefault="00B86F75" w:rsidP="00370DC1">
      <w:pPr>
        <w:pStyle w:val="EndnoteText"/>
        <w:numPr>
          <w:ilvl w:val="0"/>
          <w:numId w:val="33"/>
        </w:numPr>
        <w:spacing w:line="276" w:lineRule="auto"/>
        <w:jc w:val="both"/>
        <w:rPr>
          <w:rFonts w:cstheme="minorHAnsi"/>
          <w:bCs/>
          <w:sz w:val="22"/>
          <w:szCs w:val="22"/>
        </w:rPr>
      </w:pPr>
      <w:r w:rsidRPr="0098117C">
        <w:rPr>
          <w:rFonts w:cstheme="minorHAnsi"/>
          <w:bCs/>
          <w:sz w:val="22"/>
          <w:szCs w:val="22"/>
        </w:rPr>
        <w:t xml:space="preserve">VL Testing Guidance Circular </w:t>
      </w:r>
      <w:r w:rsidRPr="0098117C">
        <w:rPr>
          <w:rFonts w:ascii="Wingdings" w:eastAsia="Wingdings" w:hAnsi="Wingdings" w:cstheme="minorHAnsi"/>
          <w:bCs/>
          <w:sz w:val="22"/>
          <w:szCs w:val="22"/>
        </w:rPr>
        <w:t>à</w:t>
      </w:r>
      <w:r w:rsidRPr="0098117C">
        <w:rPr>
          <w:rFonts w:cstheme="minorHAnsi"/>
          <w:bCs/>
          <w:sz w:val="22"/>
          <w:szCs w:val="22"/>
        </w:rPr>
        <w:t xml:space="preserve"> provide detailed guidance on VL for substitution of existing patients onto </w:t>
      </w:r>
      <w:r w:rsidR="00E24F3F" w:rsidRPr="0098117C">
        <w:rPr>
          <w:rFonts w:cstheme="minorHAnsi"/>
          <w:bCs/>
          <w:sz w:val="22"/>
          <w:szCs w:val="22"/>
        </w:rPr>
        <w:t>p</w:t>
      </w:r>
      <w:r w:rsidRPr="0098117C">
        <w:rPr>
          <w:rFonts w:cstheme="minorHAnsi"/>
          <w:bCs/>
          <w:sz w:val="22"/>
          <w:szCs w:val="22"/>
        </w:rPr>
        <w:t>DTG-based re</w:t>
      </w:r>
      <w:r w:rsidR="00835B9C" w:rsidRPr="0098117C">
        <w:rPr>
          <w:rFonts w:cstheme="minorHAnsi"/>
          <w:bCs/>
          <w:sz w:val="22"/>
          <w:szCs w:val="22"/>
        </w:rPr>
        <w:t xml:space="preserve">gimens </w:t>
      </w:r>
    </w:p>
    <w:p w14:paraId="061800A2" w14:textId="05B0F05B" w:rsidR="00AA3C3A" w:rsidRPr="0098117C" w:rsidRDefault="00B86F75" w:rsidP="00370DC1">
      <w:pPr>
        <w:pStyle w:val="EndnoteText"/>
        <w:numPr>
          <w:ilvl w:val="0"/>
          <w:numId w:val="33"/>
        </w:numPr>
        <w:spacing w:line="276" w:lineRule="auto"/>
        <w:jc w:val="both"/>
        <w:rPr>
          <w:rFonts w:cstheme="minorHAnsi"/>
          <w:bCs/>
          <w:sz w:val="22"/>
          <w:szCs w:val="22"/>
        </w:rPr>
      </w:pPr>
      <w:r w:rsidRPr="0098117C">
        <w:rPr>
          <w:rFonts w:cstheme="minorHAnsi"/>
          <w:bCs/>
          <w:sz w:val="22"/>
          <w:szCs w:val="22"/>
        </w:rPr>
        <w:t xml:space="preserve">Stock Management and Ordering Circular </w:t>
      </w:r>
      <w:r w:rsidRPr="0098117C">
        <w:rPr>
          <w:rFonts w:ascii="Wingdings" w:eastAsia="Wingdings" w:hAnsi="Wingdings" w:cstheme="minorHAnsi"/>
          <w:bCs/>
          <w:sz w:val="22"/>
          <w:szCs w:val="22"/>
        </w:rPr>
        <w:t>à</w:t>
      </w:r>
      <w:r w:rsidRPr="0098117C">
        <w:rPr>
          <w:rFonts w:cstheme="minorHAnsi"/>
          <w:bCs/>
          <w:sz w:val="22"/>
          <w:szCs w:val="22"/>
        </w:rPr>
        <w:t xml:space="preserve"> guidance for public sector </w:t>
      </w:r>
      <w:r w:rsidR="008211E0" w:rsidRPr="0098117C">
        <w:rPr>
          <w:rFonts w:cstheme="minorHAnsi"/>
          <w:bCs/>
          <w:sz w:val="22"/>
          <w:szCs w:val="22"/>
        </w:rPr>
        <w:t>facilities on how to appropriately</w:t>
      </w:r>
      <w:r w:rsidRPr="0098117C">
        <w:rPr>
          <w:rFonts w:cstheme="minorHAnsi"/>
          <w:bCs/>
          <w:sz w:val="22"/>
          <w:szCs w:val="22"/>
        </w:rPr>
        <w:t xml:space="preserve"> order and manage existing stock to limit wastage and ensure no expiries </w:t>
      </w:r>
    </w:p>
    <w:p w14:paraId="61DCEA5E" w14:textId="4146E79C" w:rsidR="00AA3C3A" w:rsidRPr="0098117C" w:rsidRDefault="00AA3C3A" w:rsidP="00370DC1">
      <w:pPr>
        <w:pStyle w:val="EndnoteText"/>
        <w:numPr>
          <w:ilvl w:val="0"/>
          <w:numId w:val="33"/>
        </w:numPr>
        <w:spacing w:line="276" w:lineRule="auto"/>
        <w:jc w:val="both"/>
        <w:rPr>
          <w:rFonts w:cstheme="minorHAnsi"/>
          <w:bCs/>
          <w:sz w:val="22"/>
          <w:szCs w:val="22"/>
        </w:rPr>
      </w:pPr>
      <w:r w:rsidRPr="0098117C">
        <w:rPr>
          <w:rFonts w:cstheme="minorHAnsi"/>
          <w:bCs/>
          <w:sz w:val="22"/>
          <w:szCs w:val="22"/>
        </w:rPr>
        <w:t>High-</w:t>
      </w:r>
      <w:r w:rsidR="00BA1348">
        <w:rPr>
          <w:rFonts w:cstheme="minorHAnsi"/>
          <w:bCs/>
          <w:sz w:val="22"/>
          <w:szCs w:val="22"/>
        </w:rPr>
        <w:t>l</w:t>
      </w:r>
      <w:r w:rsidRPr="0098117C">
        <w:rPr>
          <w:rFonts w:cstheme="minorHAnsi"/>
          <w:bCs/>
          <w:sz w:val="22"/>
          <w:szCs w:val="22"/>
        </w:rPr>
        <w:t>evel communication from the Ministry regarding HIV Guideline updates to patients and civil society</w:t>
      </w:r>
    </w:p>
    <w:p w14:paraId="5987E382" w14:textId="750E40C4" w:rsidR="004534D0" w:rsidRPr="0098117C" w:rsidRDefault="004534D0" w:rsidP="00370DC1">
      <w:pPr>
        <w:pStyle w:val="EndnoteText"/>
        <w:numPr>
          <w:ilvl w:val="0"/>
          <w:numId w:val="33"/>
        </w:numPr>
        <w:spacing w:line="276" w:lineRule="auto"/>
        <w:jc w:val="both"/>
        <w:rPr>
          <w:rFonts w:cstheme="minorHAnsi"/>
          <w:bCs/>
          <w:sz w:val="22"/>
          <w:szCs w:val="22"/>
        </w:rPr>
      </w:pPr>
      <w:r w:rsidRPr="0098117C">
        <w:rPr>
          <w:rFonts w:cstheme="minorHAnsi"/>
          <w:bCs/>
          <w:sz w:val="22"/>
          <w:szCs w:val="22"/>
        </w:rPr>
        <w:t xml:space="preserve">pDTG Healthcare Worker (HCW) Training Curriculum </w:t>
      </w:r>
      <w:r w:rsidRPr="0098117C">
        <w:rPr>
          <w:rFonts w:ascii="Wingdings" w:eastAsia="Wingdings" w:hAnsi="Wingdings" w:cstheme="minorHAnsi"/>
          <w:bCs/>
          <w:sz w:val="22"/>
          <w:szCs w:val="22"/>
        </w:rPr>
        <w:t>à</w:t>
      </w:r>
      <w:r w:rsidRPr="0098117C">
        <w:rPr>
          <w:rFonts w:cstheme="minorHAnsi"/>
          <w:bCs/>
          <w:sz w:val="22"/>
          <w:szCs w:val="22"/>
        </w:rPr>
        <w:t xml:space="preserve"> for HCW to refer to the national guidance on pDTG and how to prescribe it</w:t>
      </w:r>
    </w:p>
    <w:p w14:paraId="7B369685" w14:textId="6C484575" w:rsidR="004534D0" w:rsidRDefault="004534D0" w:rsidP="00370DC1">
      <w:pPr>
        <w:pStyle w:val="EndnoteText"/>
        <w:numPr>
          <w:ilvl w:val="0"/>
          <w:numId w:val="33"/>
        </w:numPr>
        <w:spacing w:line="276" w:lineRule="auto"/>
        <w:jc w:val="both"/>
        <w:rPr>
          <w:rFonts w:cstheme="minorHAnsi"/>
          <w:bCs/>
          <w:sz w:val="22"/>
          <w:szCs w:val="22"/>
        </w:rPr>
      </w:pPr>
      <w:r w:rsidRPr="0098117C">
        <w:rPr>
          <w:rFonts w:cstheme="minorHAnsi"/>
          <w:bCs/>
          <w:sz w:val="22"/>
          <w:szCs w:val="22"/>
        </w:rPr>
        <w:t>pDTG Job Aid for HCWs</w:t>
      </w:r>
      <w:r w:rsidR="00221B8F" w:rsidRPr="0098117C">
        <w:rPr>
          <w:rFonts w:cstheme="minorHAnsi"/>
          <w:bCs/>
          <w:sz w:val="22"/>
          <w:szCs w:val="22"/>
        </w:rPr>
        <w:t xml:space="preserve"> </w:t>
      </w:r>
      <w:r w:rsidR="00221B8F" w:rsidRPr="0098117C">
        <w:rPr>
          <w:rFonts w:ascii="Wingdings" w:eastAsia="Wingdings" w:hAnsi="Wingdings" w:cstheme="minorHAnsi"/>
          <w:bCs/>
          <w:sz w:val="22"/>
          <w:szCs w:val="22"/>
        </w:rPr>
        <w:t>à</w:t>
      </w:r>
      <w:r w:rsidR="00221B8F" w:rsidRPr="0098117C">
        <w:rPr>
          <w:rFonts w:cstheme="minorHAnsi"/>
          <w:bCs/>
          <w:sz w:val="22"/>
          <w:szCs w:val="22"/>
        </w:rPr>
        <w:t xml:space="preserve"> </w:t>
      </w:r>
      <w:r w:rsidRPr="0098117C">
        <w:rPr>
          <w:rFonts w:cstheme="minorHAnsi"/>
          <w:bCs/>
          <w:sz w:val="22"/>
          <w:szCs w:val="22"/>
        </w:rPr>
        <w:t>serve as a tool for facility use by HCWs who have been trained on pDTG and serve as an on-hand reference for key clinical guidance and recommendations</w:t>
      </w:r>
    </w:p>
    <w:p w14:paraId="2B9D8C25" w14:textId="56163DFC" w:rsidR="00FB49B8" w:rsidRDefault="00FB49B8" w:rsidP="00FB49B8">
      <w:pPr>
        <w:pStyle w:val="EndnoteText"/>
        <w:spacing w:line="276" w:lineRule="auto"/>
        <w:jc w:val="both"/>
        <w:rPr>
          <w:rFonts w:cstheme="minorHAnsi"/>
          <w:bCs/>
          <w:sz w:val="22"/>
          <w:szCs w:val="22"/>
        </w:rPr>
      </w:pPr>
    </w:p>
    <w:p w14:paraId="1D5867C1" w14:textId="2F01E60A" w:rsidR="00FB49B8" w:rsidRDefault="00FB49B8" w:rsidP="00FB49B8">
      <w:pPr>
        <w:pStyle w:val="Heading2"/>
        <w:numPr>
          <w:ilvl w:val="1"/>
          <w:numId w:val="23"/>
        </w:numPr>
        <w:jc w:val="both"/>
        <w:rPr>
          <w:rFonts w:asciiTheme="minorHAnsi" w:hAnsiTheme="minorHAnsi" w:cstheme="minorHAnsi"/>
        </w:rPr>
      </w:pPr>
      <w:r>
        <w:rPr>
          <w:rFonts w:asciiTheme="minorHAnsi" w:hAnsiTheme="minorHAnsi" w:cstheme="minorHAnsi"/>
        </w:rPr>
        <w:t xml:space="preserve">Community </w:t>
      </w:r>
      <w:r w:rsidR="00353858">
        <w:rPr>
          <w:rFonts w:asciiTheme="minorHAnsi" w:hAnsiTheme="minorHAnsi" w:cstheme="minorHAnsi"/>
        </w:rPr>
        <w:t xml:space="preserve">Engagement </w:t>
      </w:r>
    </w:p>
    <w:p w14:paraId="5A85A745" w14:textId="181CB6F8" w:rsidR="00701BCC" w:rsidRDefault="00B34C75" w:rsidP="005B526B">
      <w:pPr>
        <w:jc w:val="both"/>
      </w:pPr>
      <w:r w:rsidRPr="00B34C75">
        <w:t xml:space="preserve">In order to ensure a strong understanding of the product, </w:t>
      </w:r>
      <w:r w:rsidR="00AE70D5" w:rsidRPr="00AE70D5">
        <w:rPr>
          <w:highlight w:val="yellow"/>
        </w:rPr>
        <w:t>Country X</w:t>
      </w:r>
      <w:r w:rsidR="00AE70D5">
        <w:t xml:space="preserve"> will plan to work closely </w:t>
      </w:r>
      <w:r w:rsidRPr="00B34C75">
        <w:t xml:space="preserve">with communities. </w:t>
      </w:r>
      <w:r w:rsidR="002E54A0">
        <w:t>T</w:t>
      </w:r>
      <w:r w:rsidR="002E54A0" w:rsidRPr="002E54A0">
        <w:t>hrough active engagement at the global and national level</w:t>
      </w:r>
      <w:r w:rsidR="002E54A0">
        <w:t>, t</w:t>
      </w:r>
      <w:r w:rsidR="000F6517" w:rsidRPr="000F6517">
        <w:t>he Community Advisory Board (CAB) will lead the development of treatment literacy materials for communities</w:t>
      </w:r>
      <w:r w:rsidR="00CF7750">
        <w:t xml:space="preserve">. </w:t>
      </w:r>
    </w:p>
    <w:p w14:paraId="72821DEA" w14:textId="7F9FF95F" w:rsidR="0037513C" w:rsidRDefault="0037513C" w:rsidP="005B526B">
      <w:pPr>
        <w:jc w:val="both"/>
      </w:pPr>
      <w:r w:rsidRPr="00683A9C">
        <w:rPr>
          <w:highlight w:val="yellow"/>
        </w:rPr>
        <w:t>Country X</w:t>
      </w:r>
      <w:r>
        <w:t xml:space="preserve">’s engagement with the community is summarized in </w:t>
      </w:r>
      <w:r w:rsidR="00451804">
        <w:t xml:space="preserve">Table 7 below: </w:t>
      </w:r>
    </w:p>
    <w:p w14:paraId="2E54BE85" w14:textId="7778AAFE" w:rsidR="00FB49B8" w:rsidRPr="00FB49B8" w:rsidRDefault="000F6173" w:rsidP="005B526B">
      <w:pPr>
        <w:jc w:val="both"/>
      </w:pPr>
      <w:commentRangeStart w:id="9"/>
      <w:r w:rsidRPr="000F6173">
        <w:rPr>
          <w:noProof/>
        </w:rPr>
        <w:drawing>
          <wp:inline distT="0" distB="0" distL="0" distR="0" wp14:anchorId="6B44B82C" wp14:editId="383259AC">
            <wp:extent cx="5943600" cy="1606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943600" cy="1606550"/>
                    </a:xfrm>
                    <a:prstGeom prst="rect">
                      <a:avLst/>
                    </a:prstGeom>
                  </pic:spPr>
                </pic:pic>
              </a:graphicData>
            </a:graphic>
          </wp:inline>
        </w:drawing>
      </w:r>
      <w:commentRangeEnd w:id="9"/>
      <w:r w:rsidR="00451804">
        <w:rPr>
          <w:rStyle w:val="CommentReference"/>
        </w:rPr>
        <w:commentReference w:id="9"/>
      </w:r>
    </w:p>
    <w:p w14:paraId="67CD040D" w14:textId="4B542B5A" w:rsidR="005519CF" w:rsidRPr="00962853" w:rsidRDefault="005519CF" w:rsidP="00370DC1">
      <w:pPr>
        <w:pStyle w:val="Heading1"/>
        <w:numPr>
          <w:ilvl w:val="0"/>
          <w:numId w:val="23"/>
        </w:numPr>
        <w:jc w:val="both"/>
        <w:rPr>
          <w:rFonts w:asciiTheme="minorHAnsi" w:hAnsiTheme="minorHAnsi" w:cstheme="minorHAnsi"/>
        </w:rPr>
      </w:pPr>
      <w:r w:rsidRPr="00962853">
        <w:rPr>
          <w:rFonts w:asciiTheme="minorHAnsi" w:hAnsiTheme="minorHAnsi" w:cstheme="minorHAnsi"/>
        </w:rPr>
        <w:t xml:space="preserve">Monitoring </w:t>
      </w:r>
      <w:r w:rsidR="008E08B3">
        <w:rPr>
          <w:rFonts w:asciiTheme="minorHAnsi" w:hAnsiTheme="minorHAnsi" w:cstheme="minorHAnsi"/>
        </w:rPr>
        <w:t>&amp; Evaluation</w:t>
      </w:r>
    </w:p>
    <w:p w14:paraId="7ACA9991" w14:textId="5E70572F" w:rsidR="005519CF" w:rsidRPr="00962853" w:rsidRDefault="005519CF" w:rsidP="00370DC1">
      <w:pPr>
        <w:pStyle w:val="EndnoteText"/>
        <w:spacing w:line="276" w:lineRule="auto"/>
        <w:jc w:val="both"/>
        <w:rPr>
          <w:rFonts w:cstheme="minorHAnsi"/>
          <w:bCs/>
          <w:sz w:val="22"/>
          <w:szCs w:val="22"/>
        </w:rPr>
      </w:pPr>
      <w:r w:rsidRPr="00962853">
        <w:rPr>
          <w:rFonts w:cstheme="minorHAnsi"/>
          <w:bCs/>
          <w:sz w:val="22"/>
          <w:szCs w:val="22"/>
        </w:rPr>
        <w:t xml:space="preserve">Careful monitoring of the stock on hand and consumption rates is important before and during transition as the scale-up of </w:t>
      </w:r>
      <w:r w:rsidR="00E726A2" w:rsidRPr="00962853">
        <w:rPr>
          <w:rFonts w:cstheme="minorHAnsi"/>
          <w:bCs/>
          <w:sz w:val="22"/>
          <w:szCs w:val="22"/>
        </w:rPr>
        <w:t>orientation</w:t>
      </w:r>
      <w:r w:rsidRPr="00962853">
        <w:rPr>
          <w:rFonts w:cstheme="minorHAnsi"/>
          <w:bCs/>
          <w:sz w:val="22"/>
          <w:szCs w:val="22"/>
        </w:rPr>
        <w:t xml:space="preserve"> could alter consumption rates in country. Product uptake will be monitored using the </w:t>
      </w:r>
      <w:r w:rsidR="00164074" w:rsidRPr="007F5C54">
        <w:rPr>
          <w:rFonts w:cstheme="minorHAnsi"/>
          <w:bCs/>
          <w:i/>
          <w:iCs/>
          <w:sz w:val="22"/>
          <w:szCs w:val="22"/>
          <w:highlight w:val="yellow"/>
        </w:rPr>
        <w:t>XYZ</w:t>
      </w:r>
      <w:r w:rsidRPr="00962853">
        <w:rPr>
          <w:rFonts w:cstheme="minorHAnsi"/>
          <w:bCs/>
          <w:sz w:val="22"/>
          <w:szCs w:val="22"/>
        </w:rPr>
        <w:t xml:space="preserve"> on a bi-monthly basis. Availability of stock at the warehouses will be monitored using the </w:t>
      </w:r>
      <w:r w:rsidRPr="007F5C54">
        <w:rPr>
          <w:rFonts w:cstheme="minorHAnsi"/>
          <w:bCs/>
          <w:i/>
          <w:iCs/>
          <w:sz w:val="22"/>
          <w:szCs w:val="22"/>
          <w:highlight w:val="yellow"/>
        </w:rPr>
        <w:t>Central Level stock status reports</w:t>
      </w:r>
      <w:r w:rsidRPr="00962853">
        <w:rPr>
          <w:rFonts w:cstheme="minorHAnsi"/>
          <w:bCs/>
          <w:sz w:val="22"/>
          <w:szCs w:val="22"/>
        </w:rPr>
        <w:t xml:space="preserve"> and any interventions to increase/</w:t>
      </w:r>
      <w:r w:rsidR="009C25C5">
        <w:rPr>
          <w:rFonts w:cstheme="minorHAnsi"/>
          <w:bCs/>
          <w:sz w:val="22"/>
          <w:szCs w:val="22"/>
        </w:rPr>
        <w:t xml:space="preserve"> </w:t>
      </w:r>
      <w:r w:rsidRPr="00962853">
        <w:rPr>
          <w:rFonts w:cstheme="minorHAnsi"/>
          <w:bCs/>
          <w:sz w:val="22"/>
          <w:szCs w:val="22"/>
        </w:rPr>
        <w:t xml:space="preserve">decrease central supply depending on the product uptake will be brainstormed at the monthly </w:t>
      </w:r>
      <w:r w:rsidRPr="007F5C54">
        <w:rPr>
          <w:rFonts w:cstheme="minorHAnsi"/>
          <w:bCs/>
          <w:sz w:val="22"/>
          <w:szCs w:val="22"/>
          <w:highlight w:val="yellow"/>
        </w:rPr>
        <w:t>C</w:t>
      </w:r>
      <w:r w:rsidR="009C25C5" w:rsidRPr="007F5C54">
        <w:rPr>
          <w:rFonts w:cstheme="minorHAnsi"/>
          <w:bCs/>
          <w:sz w:val="22"/>
          <w:szCs w:val="22"/>
          <w:highlight w:val="yellow"/>
        </w:rPr>
        <w:t xml:space="preserve">ommodity </w:t>
      </w:r>
      <w:r w:rsidRPr="007F5C54">
        <w:rPr>
          <w:rFonts w:cstheme="minorHAnsi"/>
          <w:bCs/>
          <w:sz w:val="22"/>
          <w:szCs w:val="22"/>
          <w:highlight w:val="yellow"/>
        </w:rPr>
        <w:t>S</w:t>
      </w:r>
      <w:r w:rsidR="009C25C5" w:rsidRPr="007F5C54">
        <w:rPr>
          <w:rFonts w:cstheme="minorHAnsi"/>
          <w:bCs/>
          <w:sz w:val="22"/>
          <w:szCs w:val="22"/>
          <w:highlight w:val="yellow"/>
        </w:rPr>
        <w:t xml:space="preserve">ecurity </w:t>
      </w:r>
      <w:r w:rsidRPr="007F5C54">
        <w:rPr>
          <w:rFonts w:cstheme="minorHAnsi"/>
          <w:bCs/>
          <w:sz w:val="22"/>
          <w:szCs w:val="22"/>
          <w:highlight w:val="yellow"/>
        </w:rPr>
        <w:t>G</w:t>
      </w:r>
      <w:r w:rsidR="009C25C5" w:rsidRPr="007F5C54">
        <w:rPr>
          <w:rFonts w:cstheme="minorHAnsi"/>
          <w:bCs/>
          <w:sz w:val="22"/>
          <w:szCs w:val="22"/>
          <w:highlight w:val="yellow"/>
        </w:rPr>
        <w:t>roup</w:t>
      </w:r>
      <w:r w:rsidRPr="00962853">
        <w:rPr>
          <w:rFonts w:cstheme="minorHAnsi"/>
          <w:bCs/>
          <w:sz w:val="22"/>
          <w:szCs w:val="22"/>
        </w:rPr>
        <w:t xml:space="preserve"> meetings. </w:t>
      </w:r>
      <w:r w:rsidRPr="007F5C54">
        <w:rPr>
          <w:rFonts w:cstheme="minorHAnsi"/>
          <w:bCs/>
          <w:sz w:val="22"/>
          <w:szCs w:val="22"/>
          <w:highlight w:val="yellow"/>
        </w:rPr>
        <w:t xml:space="preserve">Availability of stock at the facilities will be monitored on a bi-monthly basis using </w:t>
      </w:r>
      <w:r w:rsidR="00887D81" w:rsidRPr="007F5C54">
        <w:rPr>
          <w:rFonts w:cstheme="minorHAnsi"/>
          <w:bCs/>
          <w:i/>
          <w:iCs/>
          <w:sz w:val="22"/>
          <w:szCs w:val="22"/>
          <w:highlight w:val="yellow"/>
        </w:rPr>
        <w:t>XYZ</w:t>
      </w:r>
      <w:r w:rsidR="00887D81" w:rsidRPr="007F5C54">
        <w:rPr>
          <w:rFonts w:cstheme="minorHAnsi"/>
          <w:bCs/>
          <w:sz w:val="22"/>
          <w:szCs w:val="22"/>
          <w:highlight w:val="yellow"/>
        </w:rPr>
        <w:t xml:space="preserve"> </w:t>
      </w:r>
      <w:r w:rsidRPr="007F5C54">
        <w:rPr>
          <w:rFonts w:cstheme="minorHAnsi"/>
          <w:bCs/>
          <w:sz w:val="22"/>
          <w:szCs w:val="22"/>
          <w:highlight w:val="yellow"/>
        </w:rPr>
        <w:t>data.</w:t>
      </w:r>
      <w:r w:rsidRPr="00962853">
        <w:rPr>
          <w:rFonts w:cstheme="minorHAnsi"/>
          <w:bCs/>
          <w:sz w:val="22"/>
          <w:szCs w:val="22"/>
        </w:rPr>
        <w:t xml:space="preserve"> Stock re-</w:t>
      </w:r>
      <w:r w:rsidRPr="00962853">
        <w:rPr>
          <w:rFonts w:cstheme="minorHAnsi"/>
          <w:bCs/>
          <w:sz w:val="22"/>
          <w:szCs w:val="22"/>
        </w:rPr>
        <w:lastRenderedPageBreak/>
        <w:t xml:space="preserve">distribution to avert stock outs or wastage will be recommended using this data. Monitoring is particularly important given the high volume of patients that will be transferring or initiating onto </w:t>
      </w:r>
      <w:r w:rsidR="00647FBF">
        <w:rPr>
          <w:rFonts w:cstheme="minorHAnsi"/>
          <w:bCs/>
          <w:sz w:val="22"/>
          <w:szCs w:val="22"/>
        </w:rPr>
        <w:t>p</w:t>
      </w:r>
      <w:r w:rsidRPr="00962853">
        <w:rPr>
          <w:rFonts w:cstheme="minorHAnsi"/>
          <w:bCs/>
          <w:sz w:val="22"/>
          <w:szCs w:val="22"/>
        </w:rPr>
        <w:t>DTG.</w:t>
      </w:r>
    </w:p>
    <w:p w14:paraId="49724371" w14:textId="77777777" w:rsidR="00BC2B0A" w:rsidRPr="00962853" w:rsidRDefault="00BC2B0A" w:rsidP="00370DC1">
      <w:pPr>
        <w:pStyle w:val="EndnoteText"/>
        <w:spacing w:line="276" w:lineRule="auto"/>
        <w:jc w:val="both"/>
        <w:rPr>
          <w:rFonts w:cstheme="minorHAnsi"/>
          <w:bCs/>
          <w:sz w:val="22"/>
          <w:szCs w:val="22"/>
        </w:rPr>
      </w:pPr>
    </w:p>
    <w:p w14:paraId="3F9211F4" w14:textId="770FF1B6" w:rsidR="00BC2B0A" w:rsidRPr="00962853" w:rsidRDefault="00A01699" w:rsidP="00370DC1">
      <w:pPr>
        <w:pStyle w:val="EndnoteText"/>
        <w:spacing w:line="276" w:lineRule="auto"/>
        <w:jc w:val="both"/>
        <w:rPr>
          <w:rFonts w:cstheme="minorHAnsi"/>
          <w:bCs/>
          <w:sz w:val="22"/>
          <w:szCs w:val="22"/>
        </w:rPr>
      </w:pPr>
      <w:r w:rsidRPr="007F5C54">
        <w:rPr>
          <w:rFonts w:cstheme="minorHAnsi"/>
          <w:bCs/>
          <w:sz w:val="22"/>
          <w:szCs w:val="22"/>
          <w:highlight w:val="yellow"/>
        </w:rPr>
        <w:t xml:space="preserve">Phase </w:t>
      </w:r>
      <w:r w:rsidR="009C25C5" w:rsidRPr="007F5C54">
        <w:rPr>
          <w:rFonts w:cstheme="minorHAnsi"/>
          <w:bCs/>
          <w:sz w:val="22"/>
          <w:szCs w:val="22"/>
          <w:highlight w:val="yellow"/>
        </w:rPr>
        <w:t>I</w:t>
      </w:r>
      <w:r w:rsidRPr="007F5C54">
        <w:rPr>
          <w:rFonts w:cstheme="minorHAnsi"/>
          <w:bCs/>
          <w:sz w:val="22"/>
          <w:szCs w:val="22"/>
          <w:highlight w:val="yellow"/>
        </w:rPr>
        <w:t xml:space="preserve"> </w:t>
      </w:r>
      <w:r w:rsidR="00BC2B0A" w:rsidRPr="007F5C54">
        <w:rPr>
          <w:rFonts w:cstheme="minorHAnsi"/>
          <w:bCs/>
          <w:sz w:val="22"/>
          <w:szCs w:val="22"/>
          <w:highlight w:val="yellow"/>
        </w:rPr>
        <w:t xml:space="preserve">facilities will be prioritized for all </w:t>
      </w:r>
      <w:r w:rsidR="00E726A2" w:rsidRPr="007F5C54">
        <w:rPr>
          <w:rFonts w:cstheme="minorHAnsi"/>
          <w:bCs/>
          <w:sz w:val="22"/>
          <w:szCs w:val="22"/>
          <w:highlight w:val="yellow"/>
        </w:rPr>
        <w:t>orientation</w:t>
      </w:r>
      <w:r w:rsidR="00BC2B0A" w:rsidRPr="007F5C54">
        <w:rPr>
          <w:rFonts w:cstheme="minorHAnsi"/>
          <w:bCs/>
          <w:sz w:val="22"/>
          <w:szCs w:val="22"/>
          <w:highlight w:val="yellow"/>
        </w:rPr>
        <w:t>, mentorship, and monitoring activities to ensure a smooth product introduction.</w:t>
      </w:r>
    </w:p>
    <w:p w14:paraId="61C7978E" w14:textId="77777777" w:rsidR="00815B11" w:rsidRPr="00962853" w:rsidRDefault="00815B11" w:rsidP="00370DC1">
      <w:pPr>
        <w:pStyle w:val="EndnoteText"/>
        <w:spacing w:line="276" w:lineRule="auto"/>
        <w:jc w:val="both"/>
        <w:rPr>
          <w:rFonts w:cstheme="minorHAnsi"/>
          <w:bCs/>
          <w:sz w:val="22"/>
          <w:szCs w:val="22"/>
        </w:rPr>
      </w:pPr>
    </w:p>
    <w:p w14:paraId="410DFB3A" w14:textId="77777777" w:rsidR="00815B11" w:rsidRPr="00CE74EF" w:rsidRDefault="00815B11" w:rsidP="00370DC1">
      <w:pPr>
        <w:pStyle w:val="EndnoteText"/>
        <w:spacing w:line="276" w:lineRule="auto"/>
        <w:jc w:val="both"/>
        <w:rPr>
          <w:rFonts w:cstheme="minorHAnsi"/>
          <w:bCs/>
          <w:i/>
          <w:iCs/>
          <w:sz w:val="22"/>
          <w:szCs w:val="22"/>
        </w:rPr>
      </w:pPr>
      <w:r w:rsidRPr="00CE74EF">
        <w:rPr>
          <w:rFonts w:cstheme="minorHAnsi"/>
          <w:bCs/>
          <w:i/>
          <w:iCs/>
          <w:sz w:val="22"/>
          <w:szCs w:val="22"/>
        </w:rPr>
        <w:t xml:space="preserve">A summary of all </w:t>
      </w:r>
      <w:commentRangeStart w:id="10"/>
      <w:r w:rsidRPr="00CE74EF">
        <w:rPr>
          <w:rFonts w:cstheme="minorHAnsi"/>
          <w:bCs/>
          <w:i/>
          <w:iCs/>
          <w:sz w:val="22"/>
          <w:szCs w:val="22"/>
        </w:rPr>
        <w:t xml:space="preserve">product monitoring activities </w:t>
      </w:r>
      <w:commentRangeEnd w:id="10"/>
      <w:r w:rsidR="002876AE">
        <w:rPr>
          <w:rStyle w:val="CommentReference"/>
        </w:rPr>
        <w:commentReference w:id="10"/>
      </w:r>
      <w:r w:rsidRPr="00CE74EF">
        <w:rPr>
          <w:rFonts w:cstheme="minorHAnsi"/>
          <w:bCs/>
          <w:i/>
          <w:iCs/>
          <w:sz w:val="22"/>
          <w:szCs w:val="22"/>
        </w:rPr>
        <w:t>for the duration of the DTG Transition is below:</w:t>
      </w:r>
    </w:p>
    <w:p w14:paraId="506BB557" w14:textId="77777777" w:rsidR="00815B11" w:rsidRPr="00CE74EF" w:rsidRDefault="00815B11" w:rsidP="00370DC1">
      <w:pPr>
        <w:pStyle w:val="EndnoteText"/>
        <w:spacing w:line="276" w:lineRule="auto"/>
        <w:jc w:val="both"/>
        <w:rPr>
          <w:rFonts w:cstheme="minorHAnsi"/>
          <w:bCs/>
          <w:i/>
          <w:iCs/>
          <w:sz w:val="22"/>
          <w:szCs w:val="22"/>
        </w:rPr>
      </w:pPr>
    </w:p>
    <w:tbl>
      <w:tblPr>
        <w:tblStyle w:val="TableGrid"/>
        <w:tblW w:w="0" w:type="auto"/>
        <w:tblLook w:val="04A0" w:firstRow="1" w:lastRow="0" w:firstColumn="1" w:lastColumn="0" w:noHBand="0" w:noVBand="1"/>
      </w:tblPr>
      <w:tblGrid>
        <w:gridCol w:w="2830"/>
        <w:gridCol w:w="6520"/>
      </w:tblGrid>
      <w:tr w:rsidR="00815B11" w:rsidRPr="00CE74EF" w14:paraId="6F61C8C8" w14:textId="77777777" w:rsidTr="009C25C5">
        <w:tc>
          <w:tcPr>
            <w:tcW w:w="2830" w:type="dxa"/>
            <w:shd w:val="clear" w:color="auto" w:fill="012169"/>
          </w:tcPr>
          <w:p w14:paraId="4F189934" w14:textId="77777777" w:rsidR="00815B11" w:rsidRPr="00CE74EF" w:rsidRDefault="00815B11" w:rsidP="00370DC1">
            <w:pPr>
              <w:pStyle w:val="EndnoteText"/>
              <w:spacing w:line="276" w:lineRule="auto"/>
              <w:jc w:val="both"/>
              <w:rPr>
                <w:rFonts w:cstheme="minorHAnsi"/>
                <w:b/>
                <w:bCs/>
                <w:i/>
                <w:iCs/>
                <w:sz w:val="22"/>
                <w:szCs w:val="22"/>
              </w:rPr>
            </w:pPr>
            <w:r w:rsidRPr="00CE74EF">
              <w:rPr>
                <w:rFonts w:cstheme="minorHAnsi"/>
                <w:b/>
                <w:bCs/>
                <w:i/>
                <w:iCs/>
                <w:sz w:val="22"/>
                <w:szCs w:val="22"/>
              </w:rPr>
              <w:t>Monitoring Area</w:t>
            </w:r>
          </w:p>
        </w:tc>
        <w:tc>
          <w:tcPr>
            <w:tcW w:w="6520" w:type="dxa"/>
            <w:shd w:val="clear" w:color="auto" w:fill="012169"/>
          </w:tcPr>
          <w:p w14:paraId="7DBA4E7B" w14:textId="77777777" w:rsidR="00815B11" w:rsidRPr="00CE74EF" w:rsidRDefault="00815B11" w:rsidP="00370DC1">
            <w:pPr>
              <w:pStyle w:val="EndnoteText"/>
              <w:spacing w:line="276" w:lineRule="auto"/>
              <w:jc w:val="both"/>
              <w:rPr>
                <w:rFonts w:cstheme="minorHAnsi"/>
                <w:b/>
                <w:bCs/>
                <w:i/>
                <w:iCs/>
                <w:sz w:val="22"/>
                <w:szCs w:val="22"/>
              </w:rPr>
            </w:pPr>
            <w:r w:rsidRPr="00CE74EF">
              <w:rPr>
                <w:rFonts w:cstheme="minorHAnsi"/>
                <w:b/>
                <w:bCs/>
                <w:i/>
                <w:iCs/>
                <w:sz w:val="22"/>
                <w:szCs w:val="22"/>
              </w:rPr>
              <w:t>Monitoring Tools</w:t>
            </w:r>
          </w:p>
        </w:tc>
      </w:tr>
      <w:tr w:rsidR="00815B11" w:rsidRPr="00CE74EF" w14:paraId="69CA0056" w14:textId="77777777" w:rsidTr="009C25C5">
        <w:tc>
          <w:tcPr>
            <w:tcW w:w="2830" w:type="dxa"/>
            <w:shd w:val="clear" w:color="auto" w:fill="F2F2F2" w:themeFill="background1" w:themeFillShade="F2"/>
            <w:vAlign w:val="center"/>
          </w:tcPr>
          <w:p w14:paraId="1560837D" w14:textId="77777777" w:rsidR="00815B11" w:rsidRPr="00CE74EF" w:rsidRDefault="00815B11" w:rsidP="007758F6">
            <w:pPr>
              <w:pStyle w:val="EndnoteText"/>
              <w:spacing w:line="276" w:lineRule="auto"/>
              <w:rPr>
                <w:rFonts w:cstheme="minorHAnsi"/>
                <w:b/>
                <w:bCs/>
                <w:i/>
                <w:iCs/>
                <w:sz w:val="22"/>
                <w:szCs w:val="22"/>
              </w:rPr>
            </w:pPr>
            <w:r w:rsidRPr="00CE74EF">
              <w:rPr>
                <w:rFonts w:cstheme="minorHAnsi"/>
                <w:b/>
                <w:bCs/>
                <w:i/>
                <w:iCs/>
                <w:sz w:val="22"/>
                <w:szCs w:val="22"/>
              </w:rPr>
              <w:t>International Supply Chain</w:t>
            </w:r>
          </w:p>
        </w:tc>
        <w:tc>
          <w:tcPr>
            <w:tcW w:w="6520" w:type="dxa"/>
            <w:vAlign w:val="center"/>
          </w:tcPr>
          <w:p w14:paraId="32A11C5E" w14:textId="1708B7F2" w:rsidR="00815B11" w:rsidRPr="00CE74EF" w:rsidRDefault="00815B11" w:rsidP="00370DC1">
            <w:pPr>
              <w:pStyle w:val="EndnoteText"/>
              <w:spacing w:line="276" w:lineRule="auto"/>
              <w:jc w:val="both"/>
              <w:rPr>
                <w:rFonts w:cstheme="minorHAnsi"/>
                <w:bCs/>
                <w:i/>
                <w:iCs/>
                <w:sz w:val="22"/>
                <w:szCs w:val="22"/>
              </w:rPr>
            </w:pPr>
            <w:r w:rsidRPr="00CE74EF">
              <w:rPr>
                <w:rFonts w:cstheme="minorHAnsi"/>
                <w:bCs/>
                <w:i/>
                <w:iCs/>
                <w:sz w:val="22"/>
                <w:szCs w:val="22"/>
              </w:rPr>
              <w:t xml:space="preserve">International manufacturing capacity and supply of </w:t>
            </w:r>
            <w:r w:rsidR="008223ED">
              <w:rPr>
                <w:rFonts w:cstheme="minorHAnsi"/>
                <w:bCs/>
                <w:i/>
                <w:iCs/>
                <w:sz w:val="22"/>
                <w:szCs w:val="22"/>
              </w:rPr>
              <w:t>p</w:t>
            </w:r>
            <w:r w:rsidRPr="00CE74EF">
              <w:rPr>
                <w:rFonts w:cstheme="minorHAnsi"/>
                <w:bCs/>
                <w:i/>
                <w:iCs/>
                <w:sz w:val="22"/>
                <w:szCs w:val="22"/>
              </w:rPr>
              <w:t xml:space="preserve">DTG will be monitored to ensure available volumes of stock via in-country access to </w:t>
            </w:r>
            <w:hyperlink r:id="rId20" w:history="1">
              <w:r w:rsidRPr="008223ED">
                <w:rPr>
                  <w:rStyle w:val="Hyperlink"/>
                  <w:rFonts w:cstheme="minorHAnsi"/>
                  <w:bCs/>
                  <w:i/>
                  <w:iCs/>
                  <w:sz w:val="22"/>
                  <w:szCs w:val="22"/>
                </w:rPr>
                <w:t>A</w:t>
              </w:r>
              <w:r w:rsidR="008223ED" w:rsidRPr="008223ED">
                <w:rPr>
                  <w:rStyle w:val="Hyperlink"/>
                  <w:rFonts w:cstheme="minorHAnsi"/>
                  <w:bCs/>
                  <w:i/>
                  <w:iCs/>
                  <w:sz w:val="22"/>
                  <w:szCs w:val="22"/>
                </w:rPr>
                <w:t>RV</w:t>
              </w:r>
              <w:r w:rsidR="009858DA" w:rsidRPr="008223ED">
                <w:rPr>
                  <w:rStyle w:val="Hyperlink"/>
                  <w:rFonts w:cstheme="minorHAnsi"/>
                  <w:bCs/>
                  <w:i/>
                  <w:iCs/>
                  <w:sz w:val="22"/>
                  <w:szCs w:val="22"/>
                </w:rPr>
                <w:t xml:space="preserve"> </w:t>
              </w:r>
              <w:r w:rsidRPr="008223ED">
                <w:rPr>
                  <w:rStyle w:val="Hyperlink"/>
                  <w:rFonts w:cstheme="minorHAnsi"/>
                  <w:bCs/>
                  <w:i/>
                  <w:iCs/>
                  <w:sz w:val="22"/>
                  <w:szCs w:val="22"/>
                </w:rPr>
                <w:t>P</w:t>
              </w:r>
              <w:r w:rsidR="009858DA" w:rsidRPr="008223ED">
                <w:rPr>
                  <w:rStyle w:val="Hyperlink"/>
                  <w:rFonts w:cstheme="minorHAnsi"/>
                  <w:bCs/>
                  <w:i/>
                  <w:iCs/>
                  <w:sz w:val="22"/>
                  <w:szCs w:val="22"/>
                </w:rPr>
                <w:t xml:space="preserve">rocurement </w:t>
              </w:r>
              <w:r w:rsidRPr="008223ED">
                <w:rPr>
                  <w:rStyle w:val="Hyperlink"/>
                  <w:rFonts w:cstheme="minorHAnsi"/>
                  <w:bCs/>
                  <w:i/>
                  <w:iCs/>
                  <w:sz w:val="22"/>
                  <w:szCs w:val="22"/>
                </w:rPr>
                <w:t>W</w:t>
              </w:r>
              <w:r w:rsidR="009858DA" w:rsidRPr="008223ED">
                <w:rPr>
                  <w:rStyle w:val="Hyperlink"/>
                  <w:rFonts w:cstheme="minorHAnsi"/>
                  <w:bCs/>
                  <w:i/>
                  <w:iCs/>
                  <w:sz w:val="22"/>
                  <w:szCs w:val="22"/>
                </w:rPr>
                <w:t xml:space="preserve">orking </w:t>
              </w:r>
              <w:r w:rsidRPr="008223ED">
                <w:rPr>
                  <w:rStyle w:val="Hyperlink"/>
                  <w:rFonts w:cstheme="minorHAnsi"/>
                  <w:bCs/>
                  <w:i/>
                  <w:iCs/>
                  <w:sz w:val="22"/>
                  <w:szCs w:val="22"/>
                </w:rPr>
                <w:t>G</w:t>
              </w:r>
              <w:r w:rsidR="009858DA" w:rsidRPr="008223ED">
                <w:rPr>
                  <w:rStyle w:val="Hyperlink"/>
                  <w:rFonts w:cstheme="minorHAnsi"/>
                  <w:bCs/>
                  <w:i/>
                  <w:iCs/>
                  <w:sz w:val="22"/>
                  <w:szCs w:val="22"/>
                </w:rPr>
                <w:t>roup</w:t>
              </w:r>
            </w:hyperlink>
            <w:r w:rsidR="009858DA" w:rsidRPr="00CE74EF">
              <w:rPr>
                <w:rFonts w:cstheme="minorHAnsi"/>
                <w:bCs/>
                <w:i/>
                <w:iCs/>
                <w:sz w:val="22"/>
                <w:szCs w:val="22"/>
              </w:rPr>
              <w:t xml:space="preserve"> (APWG)</w:t>
            </w:r>
            <w:r w:rsidRPr="00CE74EF">
              <w:rPr>
                <w:rFonts w:cstheme="minorHAnsi"/>
                <w:bCs/>
                <w:i/>
                <w:iCs/>
                <w:sz w:val="22"/>
                <w:szCs w:val="22"/>
              </w:rPr>
              <w:t xml:space="preserve"> information</w:t>
            </w:r>
            <w:r w:rsidR="009858DA" w:rsidRPr="00CE74EF">
              <w:rPr>
                <w:rFonts w:cstheme="minorHAnsi"/>
                <w:bCs/>
                <w:i/>
                <w:iCs/>
                <w:sz w:val="22"/>
                <w:szCs w:val="22"/>
              </w:rPr>
              <w:t>; CHAI and USAID serve on this committee and will inform the country of key developments</w:t>
            </w:r>
          </w:p>
        </w:tc>
      </w:tr>
      <w:tr w:rsidR="008223ED" w:rsidRPr="00CE74EF" w14:paraId="51357DCF" w14:textId="77777777" w:rsidTr="009C25C5">
        <w:tc>
          <w:tcPr>
            <w:tcW w:w="2830" w:type="dxa"/>
            <w:shd w:val="clear" w:color="auto" w:fill="F2F2F2" w:themeFill="background1" w:themeFillShade="F2"/>
            <w:vAlign w:val="center"/>
          </w:tcPr>
          <w:p w14:paraId="6A7B2DAB" w14:textId="77777777" w:rsidR="008223ED" w:rsidRPr="00CE74EF" w:rsidRDefault="008223ED" w:rsidP="007758F6">
            <w:pPr>
              <w:pStyle w:val="EndnoteText"/>
              <w:spacing w:line="276" w:lineRule="auto"/>
              <w:rPr>
                <w:rFonts w:cstheme="minorHAnsi"/>
                <w:b/>
                <w:bCs/>
                <w:i/>
                <w:iCs/>
                <w:sz w:val="22"/>
                <w:szCs w:val="22"/>
              </w:rPr>
            </w:pPr>
            <w:r>
              <w:rPr>
                <w:rFonts w:cstheme="minorHAnsi"/>
                <w:b/>
                <w:bCs/>
                <w:i/>
                <w:iCs/>
                <w:sz w:val="22"/>
                <w:szCs w:val="22"/>
              </w:rPr>
              <w:t>Rapid Consumption Monitoring</w:t>
            </w:r>
          </w:p>
        </w:tc>
        <w:tc>
          <w:tcPr>
            <w:tcW w:w="6520" w:type="dxa"/>
            <w:vAlign w:val="center"/>
          </w:tcPr>
          <w:p w14:paraId="1293F548" w14:textId="42B486C6" w:rsidR="008223ED" w:rsidRPr="00CE74EF" w:rsidRDefault="008223ED" w:rsidP="00370DC1">
            <w:pPr>
              <w:pStyle w:val="EndnoteText"/>
              <w:spacing w:line="276" w:lineRule="auto"/>
              <w:jc w:val="both"/>
              <w:rPr>
                <w:rFonts w:cstheme="minorHAnsi"/>
                <w:bCs/>
                <w:i/>
                <w:iCs/>
                <w:sz w:val="22"/>
                <w:szCs w:val="22"/>
              </w:rPr>
            </w:pPr>
            <w:r>
              <w:rPr>
                <w:rFonts w:cstheme="minorHAnsi"/>
                <w:bCs/>
                <w:i/>
                <w:iCs/>
                <w:sz w:val="22"/>
                <w:szCs w:val="22"/>
              </w:rPr>
              <w:t xml:space="preserve">The CHAI </w:t>
            </w:r>
            <w:hyperlink r:id="rId21" w:history="1">
              <w:r w:rsidRPr="009C25C5">
                <w:rPr>
                  <w:rStyle w:val="Hyperlink"/>
                  <w:rFonts w:cstheme="minorHAnsi"/>
                  <w:bCs/>
                  <w:i/>
                  <w:iCs/>
                  <w:sz w:val="22"/>
                  <w:szCs w:val="22"/>
                </w:rPr>
                <w:t>Rapid Consumption Monitoring Tool</w:t>
              </w:r>
            </w:hyperlink>
            <w:r>
              <w:t xml:space="preserve"> </w:t>
            </w:r>
            <w:r w:rsidR="00E60BD9">
              <w:rPr>
                <w:rFonts w:cstheme="minorHAnsi"/>
                <w:bCs/>
                <w:i/>
                <w:iCs/>
                <w:sz w:val="22"/>
                <w:szCs w:val="22"/>
              </w:rPr>
              <w:t>can</w:t>
            </w:r>
            <w:r w:rsidRPr="009C25C5">
              <w:rPr>
                <w:rFonts w:cstheme="minorHAnsi"/>
                <w:bCs/>
                <w:i/>
                <w:iCs/>
                <w:sz w:val="22"/>
                <w:szCs w:val="22"/>
              </w:rPr>
              <w:t xml:space="preserve"> be used to monitor uptake on a monthly basis in the early stages of rollout</w:t>
            </w:r>
            <w:r>
              <w:rPr>
                <w:rFonts w:cstheme="minorHAnsi"/>
                <w:bCs/>
                <w:i/>
                <w:iCs/>
                <w:sz w:val="22"/>
                <w:szCs w:val="22"/>
              </w:rPr>
              <w:t xml:space="preserve">, </w:t>
            </w:r>
            <w:r w:rsidRPr="009C25C5">
              <w:rPr>
                <w:rFonts w:cstheme="minorHAnsi"/>
                <w:bCs/>
                <w:i/>
                <w:iCs/>
                <w:sz w:val="22"/>
                <w:szCs w:val="22"/>
              </w:rPr>
              <w:t xml:space="preserve">to compare the actual consumption of </w:t>
            </w:r>
            <w:r>
              <w:rPr>
                <w:rFonts w:cstheme="minorHAnsi"/>
                <w:bCs/>
                <w:i/>
                <w:iCs/>
                <w:sz w:val="22"/>
                <w:szCs w:val="22"/>
              </w:rPr>
              <w:t xml:space="preserve">pDTG </w:t>
            </w:r>
            <w:r w:rsidRPr="009C25C5">
              <w:rPr>
                <w:rFonts w:cstheme="minorHAnsi"/>
                <w:bCs/>
                <w:i/>
                <w:iCs/>
                <w:sz w:val="22"/>
                <w:szCs w:val="22"/>
              </w:rPr>
              <w:t>at the facility level against forecasted uptake trends in the hopes of identifying any potential issues of under consumption or overconsumption</w:t>
            </w:r>
          </w:p>
        </w:tc>
      </w:tr>
      <w:tr w:rsidR="009858DA" w:rsidRPr="00CE74EF" w14:paraId="29A4E580" w14:textId="77777777" w:rsidTr="009C25C5">
        <w:tc>
          <w:tcPr>
            <w:tcW w:w="2830" w:type="dxa"/>
            <w:shd w:val="clear" w:color="auto" w:fill="F2F2F2" w:themeFill="background1" w:themeFillShade="F2"/>
            <w:vAlign w:val="center"/>
          </w:tcPr>
          <w:p w14:paraId="057BDA4F" w14:textId="77777777" w:rsidR="009858DA" w:rsidRPr="00CE74EF" w:rsidRDefault="009858DA" w:rsidP="007758F6">
            <w:pPr>
              <w:pStyle w:val="EndnoteText"/>
              <w:spacing w:line="276" w:lineRule="auto"/>
              <w:rPr>
                <w:rFonts w:cstheme="minorHAnsi"/>
                <w:b/>
                <w:bCs/>
                <w:i/>
                <w:iCs/>
                <w:sz w:val="22"/>
                <w:szCs w:val="22"/>
              </w:rPr>
            </w:pPr>
            <w:r w:rsidRPr="00CE74EF">
              <w:rPr>
                <w:rFonts w:cstheme="minorHAnsi"/>
                <w:b/>
                <w:bCs/>
                <w:i/>
                <w:iCs/>
                <w:sz w:val="22"/>
                <w:szCs w:val="22"/>
              </w:rPr>
              <w:t>Domestic Stock-On-Hand and Patient Consumption</w:t>
            </w:r>
          </w:p>
        </w:tc>
        <w:tc>
          <w:tcPr>
            <w:tcW w:w="6520" w:type="dxa"/>
            <w:vAlign w:val="center"/>
          </w:tcPr>
          <w:p w14:paraId="7984D4B8" w14:textId="77777777" w:rsidR="009858DA" w:rsidRPr="00CE74EF" w:rsidRDefault="009858DA" w:rsidP="00370DC1">
            <w:pPr>
              <w:pStyle w:val="EndnoteText"/>
              <w:numPr>
                <w:ilvl w:val="0"/>
                <w:numId w:val="15"/>
              </w:numPr>
              <w:spacing w:line="276" w:lineRule="auto"/>
              <w:jc w:val="both"/>
              <w:rPr>
                <w:rFonts w:cstheme="minorHAnsi"/>
                <w:bCs/>
                <w:i/>
                <w:iCs/>
                <w:sz w:val="22"/>
                <w:szCs w:val="22"/>
              </w:rPr>
            </w:pPr>
            <w:r w:rsidRPr="00CE74EF">
              <w:rPr>
                <w:rFonts w:cstheme="minorHAnsi"/>
                <w:bCs/>
                <w:i/>
                <w:iCs/>
                <w:sz w:val="22"/>
                <w:szCs w:val="22"/>
              </w:rPr>
              <w:t>Warehouse Issues Data</w:t>
            </w:r>
          </w:p>
          <w:p w14:paraId="77E18429" w14:textId="77777777" w:rsidR="009858DA" w:rsidRPr="00CE74EF" w:rsidRDefault="009858DA" w:rsidP="00370DC1">
            <w:pPr>
              <w:pStyle w:val="EndnoteText"/>
              <w:numPr>
                <w:ilvl w:val="0"/>
                <w:numId w:val="15"/>
              </w:numPr>
              <w:spacing w:line="276" w:lineRule="auto"/>
              <w:jc w:val="both"/>
              <w:rPr>
                <w:rFonts w:cstheme="minorHAnsi"/>
                <w:bCs/>
                <w:i/>
                <w:iCs/>
                <w:sz w:val="22"/>
                <w:szCs w:val="22"/>
              </w:rPr>
            </w:pPr>
            <w:r w:rsidRPr="00CE74EF">
              <w:rPr>
                <w:rFonts w:cstheme="minorHAnsi"/>
                <w:bCs/>
                <w:i/>
                <w:iCs/>
                <w:sz w:val="22"/>
                <w:szCs w:val="22"/>
              </w:rPr>
              <w:t>Central Level Online Stock Status Dashboard</w:t>
            </w:r>
          </w:p>
          <w:p w14:paraId="631EA4CB" w14:textId="17B7EE97" w:rsidR="009858DA" w:rsidRPr="00CE74EF" w:rsidRDefault="009858DA" w:rsidP="00370DC1">
            <w:pPr>
              <w:pStyle w:val="EndnoteText"/>
              <w:numPr>
                <w:ilvl w:val="0"/>
                <w:numId w:val="15"/>
              </w:numPr>
              <w:spacing w:line="276" w:lineRule="auto"/>
              <w:jc w:val="both"/>
              <w:rPr>
                <w:rFonts w:cstheme="minorHAnsi"/>
                <w:bCs/>
                <w:i/>
                <w:iCs/>
                <w:sz w:val="22"/>
                <w:szCs w:val="22"/>
              </w:rPr>
            </w:pPr>
            <w:r w:rsidRPr="00CE74EF">
              <w:rPr>
                <w:rFonts w:cstheme="minorHAnsi"/>
                <w:bCs/>
                <w:i/>
                <w:iCs/>
                <w:sz w:val="22"/>
                <w:szCs w:val="22"/>
              </w:rPr>
              <w:t xml:space="preserve">ARV Stock Status </w:t>
            </w:r>
          </w:p>
        </w:tc>
      </w:tr>
      <w:tr w:rsidR="009858DA" w:rsidRPr="00CE74EF" w14:paraId="5B6A7BC5" w14:textId="77777777" w:rsidTr="009C25C5">
        <w:tc>
          <w:tcPr>
            <w:tcW w:w="2830" w:type="dxa"/>
            <w:shd w:val="clear" w:color="auto" w:fill="F2F2F2" w:themeFill="background1" w:themeFillShade="F2"/>
            <w:vAlign w:val="center"/>
          </w:tcPr>
          <w:p w14:paraId="36052C9A" w14:textId="77777777" w:rsidR="009858DA" w:rsidRPr="00CE74EF" w:rsidRDefault="009858DA" w:rsidP="007758F6">
            <w:pPr>
              <w:pStyle w:val="EndnoteText"/>
              <w:spacing w:line="276" w:lineRule="auto"/>
              <w:rPr>
                <w:rFonts w:cstheme="minorHAnsi"/>
                <w:b/>
                <w:bCs/>
                <w:i/>
                <w:iCs/>
                <w:sz w:val="22"/>
                <w:szCs w:val="22"/>
              </w:rPr>
            </w:pPr>
            <w:r w:rsidRPr="00CE74EF">
              <w:rPr>
                <w:rFonts w:cstheme="minorHAnsi"/>
                <w:b/>
                <w:bCs/>
                <w:i/>
                <w:iCs/>
                <w:sz w:val="22"/>
                <w:szCs w:val="22"/>
              </w:rPr>
              <w:t>Facility Orientation Monitoring</w:t>
            </w:r>
          </w:p>
        </w:tc>
        <w:tc>
          <w:tcPr>
            <w:tcW w:w="6520" w:type="dxa"/>
            <w:vAlign w:val="center"/>
          </w:tcPr>
          <w:p w14:paraId="7F8CE642" w14:textId="77777777" w:rsidR="009858DA" w:rsidRPr="00CE74EF" w:rsidRDefault="009858DA" w:rsidP="00370DC1">
            <w:pPr>
              <w:pStyle w:val="EndnoteText"/>
              <w:spacing w:line="276" w:lineRule="auto"/>
              <w:jc w:val="both"/>
              <w:rPr>
                <w:rFonts w:cstheme="minorHAnsi"/>
                <w:bCs/>
                <w:i/>
                <w:iCs/>
                <w:sz w:val="22"/>
                <w:szCs w:val="22"/>
              </w:rPr>
            </w:pPr>
            <w:r w:rsidRPr="00CE74EF">
              <w:rPr>
                <w:rFonts w:cstheme="minorHAnsi"/>
                <w:bCs/>
                <w:i/>
                <w:iCs/>
                <w:sz w:val="22"/>
                <w:szCs w:val="22"/>
              </w:rPr>
              <w:t>IPs will provide necessary updates in order to monitor orientation coverage by district and facility</w:t>
            </w:r>
          </w:p>
        </w:tc>
      </w:tr>
      <w:tr w:rsidR="009858DA" w:rsidRPr="00CE74EF" w14:paraId="20CDEA58" w14:textId="77777777" w:rsidTr="009C25C5">
        <w:tc>
          <w:tcPr>
            <w:tcW w:w="2830" w:type="dxa"/>
            <w:shd w:val="clear" w:color="auto" w:fill="F2F2F2" w:themeFill="background1" w:themeFillShade="F2"/>
            <w:vAlign w:val="center"/>
          </w:tcPr>
          <w:p w14:paraId="1F1B0FE8" w14:textId="77777777" w:rsidR="009858DA" w:rsidRPr="00CE74EF" w:rsidRDefault="009858DA" w:rsidP="007758F6">
            <w:pPr>
              <w:pStyle w:val="EndnoteText"/>
              <w:spacing w:line="276" w:lineRule="auto"/>
              <w:rPr>
                <w:rFonts w:cstheme="minorHAnsi"/>
                <w:b/>
                <w:bCs/>
                <w:i/>
                <w:iCs/>
                <w:sz w:val="22"/>
                <w:szCs w:val="22"/>
              </w:rPr>
            </w:pPr>
            <w:r w:rsidRPr="00CE74EF">
              <w:rPr>
                <w:rFonts w:cstheme="minorHAnsi"/>
                <w:b/>
                <w:bCs/>
                <w:i/>
                <w:iCs/>
                <w:sz w:val="22"/>
                <w:szCs w:val="22"/>
              </w:rPr>
              <w:t>Facility-Level Mentorship</w:t>
            </w:r>
          </w:p>
        </w:tc>
        <w:tc>
          <w:tcPr>
            <w:tcW w:w="6520" w:type="dxa"/>
            <w:vAlign w:val="center"/>
          </w:tcPr>
          <w:p w14:paraId="6C3DFADD" w14:textId="251F69C2" w:rsidR="009858DA" w:rsidRPr="00CE74EF" w:rsidRDefault="009858DA" w:rsidP="00370DC1">
            <w:pPr>
              <w:pStyle w:val="EndnoteText"/>
              <w:spacing w:line="276" w:lineRule="auto"/>
              <w:jc w:val="both"/>
              <w:rPr>
                <w:rFonts w:cstheme="minorHAnsi"/>
                <w:bCs/>
                <w:i/>
                <w:iCs/>
                <w:sz w:val="22"/>
                <w:szCs w:val="22"/>
              </w:rPr>
            </w:pPr>
            <w:r w:rsidRPr="00CE74EF">
              <w:rPr>
                <w:rFonts w:cstheme="minorHAnsi"/>
                <w:bCs/>
                <w:i/>
                <w:iCs/>
                <w:sz w:val="22"/>
                <w:szCs w:val="22"/>
              </w:rPr>
              <w:t xml:space="preserve">Mentorship will occur monthly for the first </w:t>
            </w:r>
            <w:r w:rsidRPr="008E048A">
              <w:rPr>
                <w:rFonts w:cstheme="minorHAnsi"/>
                <w:bCs/>
                <w:i/>
                <w:iCs/>
                <w:sz w:val="22"/>
                <w:szCs w:val="22"/>
                <w:highlight w:val="yellow"/>
              </w:rPr>
              <w:t>six</w:t>
            </w:r>
            <w:r w:rsidRPr="00CE74EF">
              <w:rPr>
                <w:rFonts w:cstheme="minorHAnsi"/>
                <w:bCs/>
                <w:i/>
                <w:iCs/>
                <w:sz w:val="22"/>
                <w:szCs w:val="22"/>
              </w:rPr>
              <w:t xml:space="preserve"> months and thereafter </w:t>
            </w:r>
            <w:r w:rsidRPr="008E048A">
              <w:rPr>
                <w:rFonts w:cstheme="minorHAnsi"/>
                <w:bCs/>
                <w:i/>
                <w:iCs/>
                <w:sz w:val="22"/>
                <w:szCs w:val="22"/>
                <w:highlight w:val="yellow"/>
              </w:rPr>
              <w:t>quarterly</w:t>
            </w:r>
            <w:r w:rsidRPr="00CE74EF">
              <w:rPr>
                <w:rFonts w:cstheme="minorHAnsi"/>
                <w:bCs/>
                <w:i/>
                <w:iCs/>
                <w:sz w:val="22"/>
                <w:szCs w:val="22"/>
              </w:rPr>
              <w:t xml:space="preserve"> following </w:t>
            </w:r>
            <w:r w:rsidR="008223ED">
              <w:rPr>
                <w:rFonts w:cstheme="minorHAnsi"/>
                <w:bCs/>
                <w:i/>
                <w:iCs/>
                <w:sz w:val="22"/>
                <w:szCs w:val="22"/>
              </w:rPr>
              <w:t>p</w:t>
            </w:r>
            <w:r w:rsidRPr="00CE74EF">
              <w:rPr>
                <w:rFonts w:cstheme="minorHAnsi"/>
                <w:bCs/>
                <w:i/>
                <w:iCs/>
                <w:sz w:val="22"/>
                <w:szCs w:val="22"/>
              </w:rPr>
              <w:t>DTG national introduction at facilities to ensure efficient uptake. Facilities that are identified as struggling will be provided with additional support and an intervention strategy</w:t>
            </w:r>
          </w:p>
        </w:tc>
      </w:tr>
      <w:tr w:rsidR="009858DA" w:rsidRPr="00CE74EF" w14:paraId="50F04F4E" w14:textId="77777777" w:rsidTr="009C25C5">
        <w:tc>
          <w:tcPr>
            <w:tcW w:w="2830" w:type="dxa"/>
            <w:shd w:val="clear" w:color="auto" w:fill="F2F2F2" w:themeFill="background1" w:themeFillShade="F2"/>
            <w:vAlign w:val="center"/>
          </w:tcPr>
          <w:p w14:paraId="16A407C4" w14:textId="199D1C1B" w:rsidR="009858DA" w:rsidRPr="00CE74EF" w:rsidRDefault="009858DA" w:rsidP="007758F6">
            <w:pPr>
              <w:pStyle w:val="EndnoteText"/>
              <w:spacing w:line="276" w:lineRule="auto"/>
              <w:rPr>
                <w:rFonts w:cstheme="minorHAnsi"/>
                <w:b/>
                <w:bCs/>
                <w:i/>
                <w:iCs/>
                <w:sz w:val="22"/>
                <w:szCs w:val="22"/>
              </w:rPr>
            </w:pPr>
            <w:r w:rsidRPr="00CE74EF">
              <w:rPr>
                <w:rFonts w:cstheme="minorHAnsi"/>
                <w:b/>
                <w:bCs/>
                <w:i/>
                <w:iCs/>
                <w:sz w:val="22"/>
                <w:szCs w:val="22"/>
              </w:rPr>
              <w:t>Pharmacovigilance</w:t>
            </w:r>
            <w:r w:rsidR="00D84FBA">
              <w:rPr>
                <w:rFonts w:cstheme="minorHAnsi"/>
                <w:b/>
                <w:bCs/>
                <w:i/>
                <w:iCs/>
                <w:sz w:val="22"/>
                <w:szCs w:val="22"/>
              </w:rPr>
              <w:t xml:space="preserve"> and</w:t>
            </w:r>
            <w:r w:rsidRPr="00CE74EF">
              <w:rPr>
                <w:rFonts w:cstheme="minorHAnsi"/>
                <w:b/>
                <w:bCs/>
                <w:i/>
                <w:iCs/>
                <w:sz w:val="22"/>
                <w:szCs w:val="22"/>
              </w:rPr>
              <w:t xml:space="preserve"> Drug Resistance Surveillance</w:t>
            </w:r>
          </w:p>
        </w:tc>
        <w:tc>
          <w:tcPr>
            <w:tcW w:w="6520" w:type="dxa"/>
            <w:vAlign w:val="center"/>
          </w:tcPr>
          <w:p w14:paraId="2DCA9CDB" w14:textId="523D6393" w:rsidR="009858DA" w:rsidRPr="00CE74EF" w:rsidRDefault="009858DA" w:rsidP="00370DC1">
            <w:pPr>
              <w:pStyle w:val="EndnoteText"/>
              <w:spacing w:line="276" w:lineRule="auto"/>
              <w:jc w:val="both"/>
              <w:rPr>
                <w:rFonts w:cstheme="minorHAnsi"/>
                <w:bCs/>
                <w:i/>
                <w:iCs/>
                <w:sz w:val="22"/>
                <w:szCs w:val="22"/>
              </w:rPr>
            </w:pPr>
            <w:r w:rsidRPr="00CE74EF">
              <w:rPr>
                <w:rFonts w:cstheme="minorHAnsi"/>
                <w:bCs/>
                <w:i/>
                <w:iCs/>
                <w:sz w:val="22"/>
                <w:szCs w:val="22"/>
              </w:rPr>
              <w:t>Monitoring details</w:t>
            </w:r>
            <w:r w:rsidR="008223ED">
              <w:rPr>
                <w:rFonts w:cstheme="minorHAnsi"/>
                <w:bCs/>
                <w:i/>
                <w:iCs/>
                <w:sz w:val="22"/>
                <w:szCs w:val="22"/>
              </w:rPr>
              <w:t xml:space="preserve"> are</w:t>
            </w:r>
            <w:r w:rsidRPr="00CE74EF">
              <w:rPr>
                <w:rFonts w:cstheme="minorHAnsi"/>
                <w:bCs/>
                <w:i/>
                <w:iCs/>
                <w:sz w:val="22"/>
                <w:szCs w:val="22"/>
              </w:rPr>
              <w:t xml:space="preserve"> in the following section</w:t>
            </w:r>
          </w:p>
        </w:tc>
      </w:tr>
      <w:tr w:rsidR="009858DA" w:rsidRPr="00CE74EF" w14:paraId="1C06CAB2" w14:textId="77777777" w:rsidTr="009C25C5">
        <w:tc>
          <w:tcPr>
            <w:tcW w:w="2830" w:type="dxa"/>
            <w:shd w:val="clear" w:color="auto" w:fill="F2F2F2" w:themeFill="background1" w:themeFillShade="F2"/>
            <w:vAlign w:val="center"/>
          </w:tcPr>
          <w:p w14:paraId="2E1F43B2" w14:textId="77777777" w:rsidR="009858DA" w:rsidRPr="00CE74EF" w:rsidRDefault="009858DA" w:rsidP="007758F6">
            <w:pPr>
              <w:pStyle w:val="EndnoteText"/>
              <w:spacing w:line="276" w:lineRule="auto"/>
              <w:rPr>
                <w:rFonts w:cstheme="minorHAnsi"/>
                <w:b/>
                <w:bCs/>
                <w:i/>
                <w:iCs/>
                <w:sz w:val="22"/>
                <w:szCs w:val="22"/>
              </w:rPr>
            </w:pPr>
            <w:r w:rsidRPr="00CE74EF">
              <w:rPr>
                <w:rFonts w:cstheme="minorHAnsi"/>
                <w:b/>
                <w:bCs/>
                <w:i/>
                <w:iCs/>
                <w:sz w:val="22"/>
                <w:szCs w:val="22"/>
              </w:rPr>
              <w:t>Total DTG Transition Review</w:t>
            </w:r>
          </w:p>
        </w:tc>
        <w:tc>
          <w:tcPr>
            <w:tcW w:w="6520" w:type="dxa"/>
            <w:vAlign w:val="center"/>
          </w:tcPr>
          <w:p w14:paraId="0074CDC6" w14:textId="0648CC48" w:rsidR="009858DA" w:rsidRPr="00CE74EF" w:rsidRDefault="009858DA" w:rsidP="00370DC1">
            <w:pPr>
              <w:pStyle w:val="EndnoteText"/>
              <w:spacing w:line="276" w:lineRule="auto"/>
              <w:jc w:val="both"/>
              <w:rPr>
                <w:rFonts w:cstheme="minorHAnsi"/>
                <w:bCs/>
                <w:i/>
                <w:iCs/>
                <w:sz w:val="22"/>
                <w:szCs w:val="22"/>
              </w:rPr>
            </w:pPr>
            <w:r w:rsidRPr="00CE74EF">
              <w:rPr>
                <w:rFonts w:cstheme="minorHAnsi"/>
                <w:bCs/>
                <w:i/>
                <w:iCs/>
                <w:sz w:val="22"/>
                <w:szCs w:val="22"/>
              </w:rPr>
              <w:t xml:space="preserve">A total review of the </w:t>
            </w:r>
            <w:r w:rsidR="008223ED">
              <w:rPr>
                <w:rFonts w:cstheme="minorHAnsi"/>
                <w:bCs/>
                <w:i/>
                <w:iCs/>
                <w:sz w:val="22"/>
                <w:szCs w:val="22"/>
              </w:rPr>
              <w:t>p</w:t>
            </w:r>
            <w:r w:rsidRPr="00CE74EF">
              <w:rPr>
                <w:rFonts w:cstheme="minorHAnsi"/>
                <w:bCs/>
                <w:i/>
                <w:iCs/>
                <w:sz w:val="22"/>
                <w:szCs w:val="22"/>
              </w:rPr>
              <w:t xml:space="preserve">DTG roll-out process will occur </w:t>
            </w:r>
            <w:r w:rsidRPr="00DE4C63">
              <w:rPr>
                <w:rFonts w:cstheme="minorHAnsi"/>
                <w:bCs/>
                <w:i/>
                <w:iCs/>
                <w:sz w:val="22"/>
                <w:szCs w:val="22"/>
                <w:highlight w:val="yellow"/>
              </w:rPr>
              <w:t>9-13 months</w:t>
            </w:r>
            <w:r w:rsidRPr="00CE74EF">
              <w:rPr>
                <w:rFonts w:cstheme="minorHAnsi"/>
                <w:bCs/>
                <w:i/>
                <w:iCs/>
                <w:sz w:val="22"/>
                <w:szCs w:val="22"/>
              </w:rPr>
              <w:t xml:space="preserve"> following national </w:t>
            </w:r>
            <w:r w:rsidR="0054307D">
              <w:rPr>
                <w:rFonts w:cstheme="minorHAnsi"/>
                <w:bCs/>
                <w:i/>
                <w:iCs/>
                <w:sz w:val="22"/>
                <w:szCs w:val="22"/>
              </w:rPr>
              <w:t>p</w:t>
            </w:r>
            <w:r w:rsidRPr="00CE74EF">
              <w:rPr>
                <w:rFonts w:cstheme="minorHAnsi"/>
                <w:bCs/>
                <w:i/>
                <w:iCs/>
                <w:sz w:val="22"/>
                <w:szCs w:val="22"/>
              </w:rPr>
              <w:t>DTG introduction to capture key learnings in order to improve new product introductions in the future</w:t>
            </w:r>
          </w:p>
        </w:tc>
      </w:tr>
    </w:tbl>
    <w:p w14:paraId="4B9AD71F" w14:textId="77777777" w:rsidR="00815B11" w:rsidRPr="00962853" w:rsidRDefault="00815B11" w:rsidP="00370DC1">
      <w:pPr>
        <w:pStyle w:val="EndnoteText"/>
        <w:spacing w:line="276" w:lineRule="auto"/>
        <w:jc w:val="both"/>
        <w:rPr>
          <w:rFonts w:cstheme="minorHAnsi"/>
          <w:bCs/>
          <w:sz w:val="22"/>
          <w:szCs w:val="22"/>
        </w:rPr>
      </w:pPr>
    </w:p>
    <w:p w14:paraId="2639ED5C" w14:textId="360A4F2F" w:rsidR="005519CF" w:rsidRPr="00962853" w:rsidRDefault="005519CF" w:rsidP="00370DC1">
      <w:pPr>
        <w:pStyle w:val="Heading1"/>
        <w:numPr>
          <w:ilvl w:val="0"/>
          <w:numId w:val="23"/>
        </w:numPr>
        <w:jc w:val="both"/>
        <w:rPr>
          <w:rFonts w:asciiTheme="minorHAnsi" w:hAnsiTheme="minorHAnsi" w:cstheme="minorHAnsi"/>
        </w:rPr>
      </w:pPr>
      <w:r w:rsidRPr="00962853">
        <w:rPr>
          <w:rFonts w:asciiTheme="minorHAnsi" w:hAnsiTheme="minorHAnsi" w:cstheme="minorHAnsi"/>
        </w:rPr>
        <w:t>Pharmacovigilance</w:t>
      </w:r>
      <w:r w:rsidR="00D84FBA">
        <w:rPr>
          <w:rFonts w:asciiTheme="minorHAnsi" w:hAnsiTheme="minorHAnsi" w:cstheme="minorHAnsi"/>
        </w:rPr>
        <w:t xml:space="preserve"> and</w:t>
      </w:r>
      <w:r w:rsidR="00C25755" w:rsidRPr="00962853">
        <w:rPr>
          <w:rFonts w:asciiTheme="minorHAnsi" w:hAnsiTheme="minorHAnsi" w:cstheme="minorHAnsi"/>
        </w:rPr>
        <w:t xml:space="preserve"> Drug Resistance Surveillance</w:t>
      </w:r>
      <w:r w:rsidRPr="00962853">
        <w:rPr>
          <w:rFonts w:asciiTheme="minorHAnsi" w:hAnsiTheme="minorHAnsi" w:cstheme="minorHAnsi"/>
        </w:rPr>
        <w:t xml:space="preserve"> </w:t>
      </w:r>
    </w:p>
    <w:p w14:paraId="0250492E" w14:textId="6D774DDE" w:rsidR="005E08D6" w:rsidRPr="00962853" w:rsidRDefault="005E08D6" w:rsidP="00370DC1">
      <w:pPr>
        <w:pStyle w:val="Heading2"/>
        <w:numPr>
          <w:ilvl w:val="1"/>
          <w:numId w:val="23"/>
        </w:numPr>
        <w:jc w:val="both"/>
        <w:rPr>
          <w:rFonts w:asciiTheme="minorHAnsi" w:hAnsiTheme="minorHAnsi" w:cstheme="minorHAnsi"/>
        </w:rPr>
      </w:pPr>
      <w:r w:rsidRPr="00962853">
        <w:rPr>
          <w:rFonts w:asciiTheme="minorHAnsi" w:hAnsiTheme="minorHAnsi" w:cstheme="minorHAnsi"/>
        </w:rPr>
        <w:t>Pharmacovigilance</w:t>
      </w:r>
      <w:r w:rsidR="00D84FBA">
        <w:rPr>
          <w:rFonts w:asciiTheme="minorHAnsi" w:hAnsiTheme="minorHAnsi" w:cstheme="minorHAnsi"/>
        </w:rPr>
        <w:t xml:space="preserve"> (PV)</w:t>
      </w:r>
    </w:p>
    <w:p w14:paraId="648BFAE9" w14:textId="4E8E202A" w:rsidR="00720AE7" w:rsidRDefault="00720AE7" w:rsidP="00370DC1">
      <w:pPr>
        <w:pStyle w:val="EndnoteText"/>
        <w:spacing w:line="276" w:lineRule="auto"/>
        <w:jc w:val="both"/>
        <w:rPr>
          <w:rFonts w:cstheme="minorHAnsi"/>
          <w:bCs/>
          <w:sz w:val="22"/>
          <w:szCs w:val="22"/>
        </w:rPr>
      </w:pPr>
      <w:r w:rsidRPr="00720AE7">
        <w:rPr>
          <w:rFonts w:cstheme="minorHAnsi"/>
          <w:bCs/>
          <w:sz w:val="22"/>
          <w:szCs w:val="22"/>
        </w:rPr>
        <w:t xml:space="preserve">As with all ARVs, it is possible to have side effects when taking pDTG. However, in clinical studies, no participants permanently discontinued DTG due to adverse events from pDTG. Possible side effects </w:t>
      </w:r>
      <w:r w:rsidRPr="00720AE7">
        <w:rPr>
          <w:rFonts w:cstheme="minorHAnsi"/>
          <w:bCs/>
          <w:sz w:val="22"/>
          <w:szCs w:val="22"/>
        </w:rPr>
        <w:lastRenderedPageBreak/>
        <w:t>include</w:t>
      </w:r>
      <w:r>
        <w:rPr>
          <w:rFonts w:cstheme="minorHAnsi"/>
          <w:bCs/>
          <w:sz w:val="22"/>
          <w:szCs w:val="22"/>
        </w:rPr>
        <w:t xml:space="preserve"> insomnia, fatigue, and headache. </w:t>
      </w:r>
      <w:r w:rsidRPr="00720AE7">
        <w:rPr>
          <w:rFonts w:cstheme="minorHAnsi"/>
          <w:bCs/>
          <w:sz w:val="22"/>
          <w:szCs w:val="22"/>
        </w:rPr>
        <w:t xml:space="preserve">These </w:t>
      </w:r>
      <w:r>
        <w:rPr>
          <w:rFonts w:cstheme="minorHAnsi"/>
          <w:bCs/>
          <w:sz w:val="22"/>
          <w:szCs w:val="22"/>
        </w:rPr>
        <w:t xml:space="preserve">side effects </w:t>
      </w:r>
      <w:r w:rsidRPr="00720AE7">
        <w:rPr>
          <w:rFonts w:cstheme="minorHAnsi"/>
          <w:bCs/>
          <w:sz w:val="22"/>
          <w:szCs w:val="22"/>
        </w:rPr>
        <w:t xml:space="preserve">tend to be most common on first taking </w:t>
      </w:r>
      <w:r>
        <w:rPr>
          <w:rFonts w:cstheme="minorHAnsi"/>
          <w:bCs/>
          <w:sz w:val="22"/>
          <w:szCs w:val="22"/>
        </w:rPr>
        <w:t>p</w:t>
      </w:r>
      <w:r w:rsidRPr="00720AE7">
        <w:rPr>
          <w:rFonts w:cstheme="minorHAnsi"/>
          <w:bCs/>
          <w:sz w:val="22"/>
          <w:szCs w:val="22"/>
        </w:rPr>
        <w:t>DTG and tend to improve with time (approximately 1-2 months)</w:t>
      </w:r>
      <w:r>
        <w:rPr>
          <w:rFonts w:cstheme="minorHAnsi"/>
          <w:bCs/>
          <w:sz w:val="22"/>
          <w:szCs w:val="22"/>
        </w:rPr>
        <w:t xml:space="preserve">. </w:t>
      </w:r>
    </w:p>
    <w:p w14:paraId="3D74B883" w14:textId="77777777" w:rsidR="00F301B6" w:rsidRDefault="00F301B6" w:rsidP="00370DC1">
      <w:pPr>
        <w:pStyle w:val="EndnoteText"/>
        <w:spacing w:line="276" w:lineRule="auto"/>
        <w:jc w:val="both"/>
        <w:rPr>
          <w:rFonts w:cstheme="minorHAnsi"/>
          <w:bCs/>
          <w:sz w:val="22"/>
          <w:szCs w:val="22"/>
        </w:rPr>
      </w:pPr>
    </w:p>
    <w:p w14:paraId="2212DF70" w14:textId="3B8E4241" w:rsidR="00720AE7" w:rsidRPr="00720AE7" w:rsidRDefault="00720AE7" w:rsidP="00370DC1">
      <w:pPr>
        <w:pStyle w:val="EndnoteText"/>
        <w:spacing w:line="276" w:lineRule="auto"/>
        <w:jc w:val="both"/>
        <w:rPr>
          <w:rFonts w:cstheme="minorHAnsi"/>
          <w:bCs/>
          <w:sz w:val="22"/>
          <w:szCs w:val="22"/>
        </w:rPr>
      </w:pPr>
      <w:r w:rsidRPr="00720AE7">
        <w:rPr>
          <w:rFonts w:cstheme="minorHAnsi"/>
          <w:bCs/>
          <w:sz w:val="22"/>
          <w:szCs w:val="22"/>
        </w:rPr>
        <w:t>Weight gain has been a common side effect of DTG 50 mg in adults</w:t>
      </w:r>
      <w:r w:rsidR="00E11D28">
        <w:rPr>
          <w:rFonts w:cstheme="minorHAnsi"/>
          <w:bCs/>
          <w:sz w:val="22"/>
          <w:szCs w:val="22"/>
        </w:rPr>
        <w:t xml:space="preserve">. </w:t>
      </w:r>
      <w:r w:rsidR="00E11D28" w:rsidRPr="00E11D28">
        <w:rPr>
          <w:rFonts w:cstheme="minorHAnsi"/>
          <w:bCs/>
          <w:sz w:val="22"/>
          <w:szCs w:val="22"/>
        </w:rPr>
        <w:t>The ODYSSEY trial found no incidences of excessive weight gain in children, and though there is no current evidence to suggest a problem with weight gain in children, it must be monitored regularly</w:t>
      </w:r>
      <w:r w:rsidR="00E11D28">
        <w:rPr>
          <w:rFonts w:cstheme="minorHAnsi"/>
          <w:bCs/>
          <w:sz w:val="22"/>
          <w:szCs w:val="22"/>
        </w:rPr>
        <w:t>.</w:t>
      </w:r>
    </w:p>
    <w:p w14:paraId="7BEABD2A" w14:textId="77777777" w:rsidR="00F301B6" w:rsidRDefault="00F301B6" w:rsidP="00370DC1">
      <w:pPr>
        <w:pStyle w:val="EndnoteText"/>
        <w:spacing w:line="276" w:lineRule="auto"/>
        <w:jc w:val="both"/>
        <w:rPr>
          <w:rFonts w:cstheme="minorHAnsi"/>
          <w:bCs/>
          <w:sz w:val="22"/>
          <w:szCs w:val="22"/>
        </w:rPr>
      </w:pPr>
    </w:p>
    <w:p w14:paraId="4100D5E2" w14:textId="41D74E7C" w:rsidR="00720AE7" w:rsidRPr="0016437C" w:rsidRDefault="00720AE7" w:rsidP="00370DC1">
      <w:pPr>
        <w:pStyle w:val="EndnoteText"/>
        <w:spacing w:line="276" w:lineRule="auto"/>
        <w:jc w:val="both"/>
        <w:rPr>
          <w:rFonts w:cstheme="minorHAnsi"/>
          <w:bCs/>
          <w:sz w:val="22"/>
          <w:szCs w:val="22"/>
        </w:rPr>
      </w:pPr>
      <w:r w:rsidRPr="00720AE7">
        <w:rPr>
          <w:rFonts w:cstheme="minorHAnsi"/>
          <w:bCs/>
          <w:sz w:val="22"/>
          <w:szCs w:val="22"/>
        </w:rPr>
        <w:t>Incidence of high blood sugar following DTG has also been reported in ART experienced adults. Related symptoms such as polyuria, polydipsia should also be monitored routinely.</w:t>
      </w:r>
    </w:p>
    <w:p w14:paraId="648EC7BF" w14:textId="77777777" w:rsidR="00720AE7" w:rsidRDefault="00720AE7" w:rsidP="00370DC1">
      <w:pPr>
        <w:pStyle w:val="EndnoteText"/>
        <w:spacing w:line="276" w:lineRule="auto"/>
        <w:jc w:val="both"/>
        <w:rPr>
          <w:rFonts w:cstheme="minorHAnsi"/>
          <w:bCs/>
          <w:i/>
          <w:iCs/>
          <w:sz w:val="22"/>
          <w:szCs w:val="22"/>
        </w:rPr>
      </w:pPr>
    </w:p>
    <w:p w14:paraId="67A293E4" w14:textId="31D1AD31" w:rsidR="00E22642" w:rsidRPr="000157B6" w:rsidRDefault="00720AE7" w:rsidP="00370DC1">
      <w:pPr>
        <w:pStyle w:val="EndnoteText"/>
        <w:spacing w:line="276" w:lineRule="auto"/>
        <w:jc w:val="both"/>
        <w:rPr>
          <w:rFonts w:cstheme="minorHAnsi"/>
          <w:bCs/>
          <w:i/>
          <w:iCs/>
          <w:sz w:val="22"/>
          <w:szCs w:val="22"/>
          <w:highlight w:val="yellow"/>
        </w:rPr>
      </w:pPr>
      <w:r>
        <w:rPr>
          <w:rFonts w:cstheme="minorHAnsi"/>
          <w:bCs/>
          <w:sz w:val="22"/>
          <w:szCs w:val="22"/>
        </w:rPr>
        <w:t>A</w:t>
      </w:r>
      <w:r w:rsidRPr="0016437C">
        <w:rPr>
          <w:rFonts w:cstheme="minorHAnsi"/>
          <w:bCs/>
          <w:sz w:val="22"/>
          <w:szCs w:val="22"/>
        </w:rPr>
        <w:t xml:space="preserve">ll side effects and adverse events </w:t>
      </w:r>
      <w:r>
        <w:rPr>
          <w:rFonts w:cstheme="minorHAnsi"/>
          <w:bCs/>
          <w:sz w:val="22"/>
          <w:szCs w:val="22"/>
        </w:rPr>
        <w:t xml:space="preserve">must be reported </w:t>
      </w:r>
      <w:r w:rsidRPr="0016437C">
        <w:rPr>
          <w:rFonts w:cstheme="minorHAnsi"/>
          <w:bCs/>
          <w:sz w:val="22"/>
          <w:szCs w:val="22"/>
        </w:rPr>
        <w:t xml:space="preserve">to </w:t>
      </w:r>
      <w:r w:rsidRPr="0016437C">
        <w:rPr>
          <w:rFonts w:cstheme="minorHAnsi"/>
          <w:bCs/>
          <w:i/>
          <w:iCs/>
          <w:sz w:val="22"/>
          <w:szCs w:val="22"/>
          <w:highlight w:val="yellow"/>
        </w:rPr>
        <w:t xml:space="preserve">[insert relevant unit/ site information and </w:t>
      </w:r>
      <w:r w:rsidR="00080359" w:rsidRPr="000157B6">
        <w:rPr>
          <w:rFonts w:cstheme="minorHAnsi"/>
          <w:bCs/>
          <w:i/>
          <w:iCs/>
          <w:sz w:val="22"/>
          <w:szCs w:val="22"/>
          <w:highlight w:val="yellow"/>
        </w:rPr>
        <w:t>populate with country’s PV approach and protocols</w:t>
      </w:r>
      <w:r w:rsidR="00E22642" w:rsidRPr="000157B6">
        <w:rPr>
          <w:rFonts w:cstheme="minorHAnsi"/>
          <w:bCs/>
          <w:i/>
          <w:iCs/>
          <w:sz w:val="22"/>
          <w:szCs w:val="22"/>
          <w:highlight w:val="yellow"/>
        </w:rPr>
        <w:t xml:space="preserve">; include following elements: </w:t>
      </w:r>
    </w:p>
    <w:p w14:paraId="3EF9686F" w14:textId="544E24F7" w:rsidR="00E22642" w:rsidRPr="000157B6" w:rsidRDefault="00E22642" w:rsidP="00370DC1">
      <w:pPr>
        <w:pStyle w:val="EndnoteText"/>
        <w:numPr>
          <w:ilvl w:val="0"/>
          <w:numId w:val="34"/>
        </w:numPr>
        <w:spacing w:line="276" w:lineRule="auto"/>
        <w:jc w:val="both"/>
        <w:rPr>
          <w:rFonts w:cstheme="minorHAnsi"/>
          <w:bCs/>
          <w:i/>
          <w:iCs/>
          <w:sz w:val="22"/>
          <w:szCs w:val="22"/>
          <w:highlight w:val="yellow"/>
        </w:rPr>
      </w:pPr>
      <w:r w:rsidRPr="000157B6">
        <w:rPr>
          <w:rFonts w:cstheme="minorHAnsi"/>
          <w:bCs/>
          <w:i/>
          <w:iCs/>
          <w:sz w:val="22"/>
          <w:szCs w:val="22"/>
          <w:highlight w:val="yellow"/>
        </w:rPr>
        <w:t>Who should HCW report to in case of any adverse drug reactions? How? (</w:t>
      </w:r>
      <w:proofErr w:type="gramStart"/>
      <w:r w:rsidRPr="000157B6">
        <w:rPr>
          <w:rFonts w:cstheme="minorHAnsi"/>
          <w:bCs/>
          <w:i/>
          <w:iCs/>
          <w:sz w:val="22"/>
          <w:szCs w:val="22"/>
          <w:highlight w:val="yellow"/>
        </w:rPr>
        <w:t>are</w:t>
      </w:r>
      <w:proofErr w:type="gramEnd"/>
      <w:r w:rsidRPr="000157B6">
        <w:rPr>
          <w:rFonts w:cstheme="minorHAnsi"/>
          <w:bCs/>
          <w:i/>
          <w:iCs/>
          <w:sz w:val="22"/>
          <w:szCs w:val="22"/>
          <w:highlight w:val="yellow"/>
        </w:rPr>
        <w:t xml:space="preserve"> there forms, websites, etc.?)</w:t>
      </w:r>
    </w:p>
    <w:p w14:paraId="1D20E1F0" w14:textId="5E2C2B84" w:rsidR="00080359" w:rsidRPr="000157B6" w:rsidRDefault="00E22642" w:rsidP="00370DC1">
      <w:pPr>
        <w:pStyle w:val="EndnoteText"/>
        <w:numPr>
          <w:ilvl w:val="0"/>
          <w:numId w:val="34"/>
        </w:numPr>
        <w:spacing w:line="276" w:lineRule="auto"/>
        <w:jc w:val="both"/>
        <w:rPr>
          <w:rFonts w:cstheme="minorHAnsi"/>
          <w:bCs/>
          <w:i/>
          <w:iCs/>
          <w:sz w:val="22"/>
          <w:szCs w:val="22"/>
          <w:highlight w:val="yellow"/>
        </w:rPr>
      </w:pPr>
      <w:r w:rsidRPr="000157B6">
        <w:rPr>
          <w:rFonts w:cstheme="minorHAnsi"/>
          <w:bCs/>
          <w:i/>
          <w:iCs/>
          <w:sz w:val="22"/>
          <w:szCs w:val="22"/>
          <w:highlight w:val="yellow"/>
        </w:rPr>
        <w:t>What is the timeline for reporting these AEs? (</w:t>
      </w:r>
      <w:proofErr w:type="gramStart"/>
      <w:r w:rsidRPr="000157B6">
        <w:rPr>
          <w:rFonts w:cstheme="minorHAnsi"/>
          <w:bCs/>
          <w:i/>
          <w:iCs/>
          <w:sz w:val="22"/>
          <w:szCs w:val="22"/>
          <w:highlight w:val="yellow"/>
        </w:rPr>
        <w:t>example</w:t>
      </w:r>
      <w:proofErr w:type="gramEnd"/>
      <w:r w:rsidRPr="000157B6">
        <w:rPr>
          <w:rFonts w:cstheme="minorHAnsi"/>
          <w:bCs/>
          <w:i/>
          <w:iCs/>
          <w:sz w:val="22"/>
          <w:szCs w:val="22"/>
          <w:highlight w:val="yellow"/>
        </w:rPr>
        <w:t xml:space="preserve"> from Uganda: Serious reactions should be reported within 24 – 48 hours and all other reactions should be reported as soon as possible but not later than 15 days</w:t>
      </w:r>
      <w:r w:rsidR="00D84FBA" w:rsidRPr="000157B6">
        <w:rPr>
          <w:rFonts w:cstheme="minorHAnsi"/>
          <w:bCs/>
          <w:i/>
          <w:iCs/>
          <w:sz w:val="22"/>
          <w:szCs w:val="22"/>
          <w:highlight w:val="yellow"/>
        </w:rPr>
        <w:t>)</w:t>
      </w:r>
      <w:r w:rsidR="00720AE7" w:rsidRPr="000157B6">
        <w:rPr>
          <w:rFonts w:cstheme="minorHAnsi"/>
          <w:bCs/>
          <w:i/>
          <w:iCs/>
          <w:sz w:val="22"/>
          <w:szCs w:val="22"/>
          <w:highlight w:val="yellow"/>
        </w:rPr>
        <w:t>]</w:t>
      </w:r>
    </w:p>
    <w:p w14:paraId="0DD21565" w14:textId="77777777" w:rsidR="005E08D6" w:rsidRPr="00962853" w:rsidRDefault="005E08D6" w:rsidP="00370DC1">
      <w:pPr>
        <w:pStyle w:val="EndnoteText"/>
        <w:spacing w:line="276" w:lineRule="auto"/>
        <w:jc w:val="both"/>
        <w:rPr>
          <w:rFonts w:cstheme="minorHAnsi"/>
          <w:bCs/>
          <w:sz w:val="22"/>
          <w:szCs w:val="22"/>
        </w:rPr>
      </w:pPr>
    </w:p>
    <w:p w14:paraId="4F8B69AE" w14:textId="1724B3F9" w:rsidR="005E08D6" w:rsidRPr="00962853" w:rsidRDefault="0065730D" w:rsidP="00370DC1">
      <w:pPr>
        <w:pStyle w:val="Heading2"/>
        <w:numPr>
          <w:ilvl w:val="1"/>
          <w:numId w:val="23"/>
        </w:numPr>
        <w:jc w:val="both"/>
        <w:rPr>
          <w:rFonts w:asciiTheme="minorHAnsi" w:hAnsiTheme="minorHAnsi" w:cstheme="minorHAnsi"/>
        </w:rPr>
      </w:pPr>
      <w:r w:rsidRPr="00962853">
        <w:rPr>
          <w:rFonts w:asciiTheme="minorHAnsi" w:hAnsiTheme="minorHAnsi" w:cstheme="minorHAnsi"/>
        </w:rPr>
        <w:t>D</w:t>
      </w:r>
      <w:r w:rsidR="005E08D6" w:rsidRPr="00962853">
        <w:rPr>
          <w:rFonts w:asciiTheme="minorHAnsi" w:hAnsiTheme="minorHAnsi" w:cstheme="minorHAnsi"/>
        </w:rPr>
        <w:t>rug Resistance Surveillance</w:t>
      </w:r>
    </w:p>
    <w:p w14:paraId="22F14ABB" w14:textId="5B6FB7FE" w:rsidR="00AB0085" w:rsidRPr="005363D8" w:rsidRDefault="005363D8" w:rsidP="00370DC1">
      <w:pPr>
        <w:pStyle w:val="EndnoteText"/>
        <w:spacing w:line="276" w:lineRule="auto"/>
        <w:jc w:val="both"/>
        <w:rPr>
          <w:rFonts w:cstheme="minorHAnsi"/>
          <w:bCs/>
          <w:i/>
          <w:iCs/>
          <w:sz w:val="22"/>
          <w:szCs w:val="22"/>
        </w:rPr>
      </w:pPr>
      <w:r w:rsidRPr="00487F98">
        <w:rPr>
          <w:rFonts w:cstheme="minorHAnsi"/>
          <w:bCs/>
          <w:i/>
          <w:iCs/>
          <w:sz w:val="22"/>
          <w:szCs w:val="22"/>
          <w:highlight w:val="yellow"/>
        </w:rPr>
        <w:t xml:space="preserve">[mention the bodies within </w:t>
      </w:r>
      <w:r w:rsidR="00611981">
        <w:rPr>
          <w:rFonts w:cstheme="minorHAnsi"/>
          <w:bCs/>
          <w:i/>
          <w:iCs/>
          <w:sz w:val="22"/>
          <w:szCs w:val="22"/>
          <w:highlight w:val="yellow"/>
        </w:rPr>
        <w:t xml:space="preserve">the country </w:t>
      </w:r>
      <w:r w:rsidRPr="00487F98">
        <w:rPr>
          <w:rFonts w:cstheme="minorHAnsi"/>
          <w:bCs/>
          <w:i/>
          <w:iCs/>
          <w:sz w:val="22"/>
          <w:szCs w:val="22"/>
          <w:highlight w:val="yellow"/>
        </w:rPr>
        <w:t>that will be monitoring drug resistance, if relevant]</w:t>
      </w:r>
      <w:r w:rsidRPr="005363D8">
        <w:rPr>
          <w:rFonts w:cstheme="minorHAnsi"/>
          <w:bCs/>
          <w:i/>
          <w:iCs/>
          <w:sz w:val="22"/>
          <w:szCs w:val="22"/>
        </w:rPr>
        <w:t xml:space="preserve"> </w:t>
      </w:r>
    </w:p>
    <w:p w14:paraId="1FAFE1DA" w14:textId="464F9876" w:rsidR="00487F98" w:rsidRDefault="005519CF" w:rsidP="00370DC1">
      <w:pPr>
        <w:pStyle w:val="Heading1"/>
        <w:numPr>
          <w:ilvl w:val="0"/>
          <w:numId w:val="23"/>
        </w:numPr>
        <w:jc w:val="both"/>
        <w:rPr>
          <w:rFonts w:asciiTheme="minorHAnsi" w:hAnsiTheme="minorHAnsi" w:cstheme="minorHAnsi"/>
        </w:rPr>
      </w:pPr>
      <w:r w:rsidRPr="00962853">
        <w:rPr>
          <w:rFonts w:asciiTheme="minorHAnsi" w:hAnsiTheme="minorHAnsi" w:cstheme="minorHAnsi"/>
        </w:rPr>
        <w:t>Anticipated Risks and Mitigation Strategy</w:t>
      </w:r>
    </w:p>
    <w:p w14:paraId="7698D05D" w14:textId="072FE301" w:rsidR="00487F98" w:rsidRPr="00487F98" w:rsidRDefault="00487F98" w:rsidP="00370DC1">
      <w:r w:rsidRPr="00487F98">
        <w:rPr>
          <w:rFonts w:cstheme="minorHAnsi"/>
          <w:bCs/>
          <w:i/>
          <w:iCs/>
          <w:highlight w:val="yellow"/>
        </w:rPr>
        <w:t>[</w:t>
      </w:r>
      <w:r w:rsidR="00F301B6">
        <w:rPr>
          <w:rFonts w:cstheme="minorHAnsi"/>
          <w:bCs/>
          <w:i/>
          <w:iCs/>
          <w:highlight w:val="yellow"/>
        </w:rPr>
        <w:t>See below e</w:t>
      </w:r>
      <w:r w:rsidRPr="00487F98">
        <w:rPr>
          <w:rFonts w:cstheme="minorHAnsi"/>
          <w:bCs/>
          <w:i/>
          <w:iCs/>
          <w:highlight w:val="yellow"/>
        </w:rPr>
        <w:t>xample</w:t>
      </w:r>
      <w:r w:rsidR="00F301B6">
        <w:rPr>
          <w:rFonts w:cstheme="minorHAnsi"/>
          <w:bCs/>
          <w:i/>
          <w:iCs/>
          <w:highlight w:val="yellow"/>
        </w:rPr>
        <w:t>s</w:t>
      </w:r>
      <w:r w:rsidRPr="00487F98">
        <w:rPr>
          <w:rFonts w:cstheme="minorHAnsi"/>
          <w:bCs/>
          <w:i/>
          <w:iCs/>
          <w:highlight w:val="yellow"/>
        </w:rPr>
        <w:t xml:space="preserve"> of risk types/ categories; please add/ edit as relevant]</w:t>
      </w:r>
    </w:p>
    <w:tbl>
      <w:tblPr>
        <w:tblStyle w:val="TableGrid"/>
        <w:tblpPr w:leftFromText="180" w:rightFromText="180" w:vertAnchor="text" w:horzAnchor="page" w:tblpX="1729" w:tblpY="443"/>
        <w:tblW w:w="8658" w:type="dxa"/>
        <w:tblLook w:val="04A0" w:firstRow="1" w:lastRow="0" w:firstColumn="1" w:lastColumn="0" w:noHBand="0" w:noVBand="1"/>
      </w:tblPr>
      <w:tblGrid>
        <w:gridCol w:w="538"/>
        <w:gridCol w:w="3489"/>
        <w:gridCol w:w="4631"/>
      </w:tblGrid>
      <w:tr w:rsidR="00E13A52" w:rsidRPr="00962853" w14:paraId="59C537D3" w14:textId="77777777" w:rsidTr="00FB0CBF">
        <w:trPr>
          <w:trHeight w:val="262"/>
        </w:trPr>
        <w:tc>
          <w:tcPr>
            <w:tcW w:w="8658" w:type="dxa"/>
            <w:gridSpan w:val="3"/>
            <w:shd w:val="clear" w:color="auto" w:fill="012169"/>
          </w:tcPr>
          <w:p w14:paraId="50AEB792" w14:textId="21CA2E43" w:rsidR="00E13A52" w:rsidRPr="005363D8" w:rsidRDefault="00E13A52" w:rsidP="00370DC1">
            <w:pPr>
              <w:spacing w:line="276" w:lineRule="auto"/>
              <w:contextualSpacing/>
              <w:jc w:val="both"/>
              <w:rPr>
                <w:rFonts w:cstheme="minorHAnsi"/>
                <w:b/>
                <w:i/>
                <w:iCs/>
              </w:rPr>
            </w:pPr>
            <w:r w:rsidRPr="005363D8">
              <w:rPr>
                <w:rFonts w:cstheme="minorHAnsi"/>
                <w:b/>
                <w:i/>
                <w:iCs/>
              </w:rPr>
              <w:t>Risks and Mitigation Strategy</w:t>
            </w:r>
          </w:p>
        </w:tc>
      </w:tr>
      <w:tr w:rsidR="00E13A52" w:rsidRPr="00962853" w14:paraId="33FB91DB" w14:textId="77777777" w:rsidTr="00FB0CBF">
        <w:trPr>
          <w:trHeight w:val="262"/>
        </w:trPr>
        <w:tc>
          <w:tcPr>
            <w:tcW w:w="538" w:type="dxa"/>
            <w:shd w:val="clear" w:color="auto" w:fill="BFBFBF" w:themeFill="background1" w:themeFillShade="BF"/>
          </w:tcPr>
          <w:p w14:paraId="7DFB870B" w14:textId="77777777" w:rsidR="00E13A52" w:rsidRPr="005363D8" w:rsidRDefault="00E13A52" w:rsidP="00370DC1">
            <w:pPr>
              <w:spacing w:line="276" w:lineRule="auto"/>
              <w:contextualSpacing/>
              <w:jc w:val="both"/>
              <w:rPr>
                <w:rFonts w:cstheme="minorHAnsi"/>
                <w:b/>
                <w:i/>
                <w:iCs/>
              </w:rPr>
            </w:pPr>
            <w:r w:rsidRPr="005363D8">
              <w:rPr>
                <w:rFonts w:cstheme="minorHAnsi"/>
                <w:b/>
                <w:i/>
                <w:iCs/>
              </w:rPr>
              <w:t>No.</w:t>
            </w:r>
          </w:p>
        </w:tc>
        <w:tc>
          <w:tcPr>
            <w:tcW w:w="3489" w:type="dxa"/>
            <w:shd w:val="clear" w:color="auto" w:fill="BFBFBF" w:themeFill="background1" w:themeFillShade="BF"/>
          </w:tcPr>
          <w:p w14:paraId="3578B8B1" w14:textId="77777777" w:rsidR="00E13A52" w:rsidRPr="005363D8" w:rsidRDefault="00E13A52" w:rsidP="00370DC1">
            <w:pPr>
              <w:spacing w:line="276" w:lineRule="auto"/>
              <w:contextualSpacing/>
              <w:jc w:val="both"/>
              <w:rPr>
                <w:rFonts w:cstheme="minorHAnsi"/>
                <w:i/>
                <w:iCs/>
              </w:rPr>
            </w:pPr>
            <w:r w:rsidRPr="005363D8">
              <w:rPr>
                <w:rFonts w:cstheme="minorHAnsi"/>
                <w:b/>
                <w:i/>
                <w:iCs/>
              </w:rPr>
              <w:t>Risk</w:t>
            </w:r>
          </w:p>
        </w:tc>
        <w:tc>
          <w:tcPr>
            <w:tcW w:w="4631" w:type="dxa"/>
            <w:shd w:val="clear" w:color="auto" w:fill="BFBFBF" w:themeFill="background1" w:themeFillShade="BF"/>
          </w:tcPr>
          <w:p w14:paraId="73523657" w14:textId="77777777" w:rsidR="00E13A52" w:rsidRPr="005363D8" w:rsidRDefault="00E13A52" w:rsidP="00370DC1">
            <w:pPr>
              <w:spacing w:line="276" w:lineRule="auto"/>
              <w:contextualSpacing/>
              <w:jc w:val="both"/>
              <w:rPr>
                <w:rFonts w:cstheme="minorHAnsi"/>
                <w:i/>
                <w:iCs/>
              </w:rPr>
            </w:pPr>
            <w:r w:rsidRPr="005363D8">
              <w:rPr>
                <w:rFonts w:cstheme="minorHAnsi"/>
                <w:b/>
                <w:i/>
                <w:iCs/>
              </w:rPr>
              <w:t>Mitigation Strategy</w:t>
            </w:r>
          </w:p>
        </w:tc>
      </w:tr>
      <w:tr w:rsidR="007954D8" w:rsidRPr="00962853" w14:paraId="792EAF2D" w14:textId="77777777" w:rsidTr="00FB0CBF">
        <w:trPr>
          <w:trHeight w:val="340"/>
        </w:trPr>
        <w:tc>
          <w:tcPr>
            <w:tcW w:w="8658" w:type="dxa"/>
            <w:gridSpan w:val="3"/>
            <w:shd w:val="clear" w:color="auto" w:fill="B8CCE4" w:themeFill="accent1" w:themeFillTint="66"/>
            <w:vAlign w:val="center"/>
          </w:tcPr>
          <w:p w14:paraId="551747EA" w14:textId="77777777" w:rsidR="007954D8" w:rsidRPr="005363D8" w:rsidRDefault="007954D8" w:rsidP="00370DC1">
            <w:pPr>
              <w:spacing w:line="276" w:lineRule="auto"/>
              <w:contextualSpacing/>
              <w:rPr>
                <w:rFonts w:cstheme="minorHAnsi"/>
                <w:b/>
                <w:i/>
                <w:iCs/>
              </w:rPr>
            </w:pPr>
            <w:r w:rsidRPr="005363D8">
              <w:rPr>
                <w:rFonts w:cstheme="minorHAnsi"/>
                <w:b/>
                <w:i/>
                <w:iCs/>
              </w:rPr>
              <w:t>Supply Chain Risks</w:t>
            </w:r>
          </w:p>
        </w:tc>
      </w:tr>
      <w:tr w:rsidR="00E13A52" w:rsidRPr="00962853" w14:paraId="74372EA6" w14:textId="77777777" w:rsidTr="00FB0CBF">
        <w:trPr>
          <w:trHeight w:val="454"/>
        </w:trPr>
        <w:tc>
          <w:tcPr>
            <w:tcW w:w="538" w:type="dxa"/>
            <w:vAlign w:val="center"/>
          </w:tcPr>
          <w:p w14:paraId="0F034304" w14:textId="77777777" w:rsidR="00E13A52" w:rsidRPr="005363D8" w:rsidRDefault="00E13A52" w:rsidP="00370DC1">
            <w:pPr>
              <w:spacing w:line="276" w:lineRule="auto"/>
              <w:contextualSpacing/>
              <w:jc w:val="both"/>
              <w:rPr>
                <w:rFonts w:cstheme="minorHAnsi"/>
                <w:b/>
                <w:i/>
                <w:iCs/>
              </w:rPr>
            </w:pPr>
            <w:r w:rsidRPr="005363D8">
              <w:rPr>
                <w:rFonts w:cstheme="minorHAnsi"/>
                <w:b/>
                <w:i/>
                <w:iCs/>
              </w:rPr>
              <w:t>1</w:t>
            </w:r>
          </w:p>
        </w:tc>
        <w:tc>
          <w:tcPr>
            <w:tcW w:w="3489" w:type="dxa"/>
            <w:vAlign w:val="center"/>
          </w:tcPr>
          <w:p w14:paraId="7A9C9DE8" w14:textId="4C501A27" w:rsidR="00E13A52" w:rsidRPr="00D84FBA" w:rsidRDefault="00D84FBA" w:rsidP="007758F6">
            <w:pPr>
              <w:spacing w:line="276" w:lineRule="auto"/>
              <w:contextualSpacing/>
              <w:rPr>
                <w:rFonts w:cstheme="minorHAnsi"/>
                <w:bCs/>
                <w:i/>
                <w:iCs/>
              </w:rPr>
            </w:pPr>
            <w:r>
              <w:rPr>
                <w:rFonts w:cstheme="minorHAnsi"/>
                <w:b/>
                <w:i/>
                <w:iCs/>
              </w:rPr>
              <w:t>F</w:t>
            </w:r>
            <w:r w:rsidR="00E13A52" w:rsidRPr="005363D8">
              <w:rPr>
                <w:rFonts w:cstheme="minorHAnsi"/>
                <w:b/>
                <w:i/>
                <w:iCs/>
              </w:rPr>
              <w:t>unding for ARVs</w:t>
            </w:r>
            <w:r>
              <w:rPr>
                <w:rFonts w:cstheme="minorHAnsi"/>
                <w:b/>
                <w:i/>
                <w:iCs/>
              </w:rPr>
              <w:t xml:space="preserve"> </w:t>
            </w:r>
            <w:r>
              <w:rPr>
                <w:rFonts w:cstheme="minorHAnsi"/>
                <w:bCs/>
                <w:i/>
                <w:iCs/>
              </w:rPr>
              <w:t>(if inadequate)</w:t>
            </w:r>
          </w:p>
        </w:tc>
        <w:tc>
          <w:tcPr>
            <w:tcW w:w="4631" w:type="dxa"/>
            <w:vAlign w:val="center"/>
          </w:tcPr>
          <w:p w14:paraId="6CA0E9D3" w14:textId="03251124" w:rsidR="00764E88" w:rsidRPr="005363D8" w:rsidRDefault="00764E88" w:rsidP="00370DC1">
            <w:pPr>
              <w:pStyle w:val="ListParagraph"/>
              <w:numPr>
                <w:ilvl w:val="0"/>
                <w:numId w:val="11"/>
              </w:numPr>
              <w:spacing w:line="276" w:lineRule="auto"/>
              <w:jc w:val="left"/>
              <w:rPr>
                <w:rFonts w:asciiTheme="minorHAnsi" w:hAnsiTheme="minorHAnsi" w:cstheme="minorHAnsi"/>
                <w:i/>
                <w:iCs/>
              </w:rPr>
            </w:pPr>
          </w:p>
        </w:tc>
      </w:tr>
      <w:tr w:rsidR="007954D8" w:rsidRPr="00962853" w14:paraId="27D2044B" w14:textId="77777777" w:rsidTr="00FB0CBF">
        <w:trPr>
          <w:trHeight w:val="454"/>
        </w:trPr>
        <w:tc>
          <w:tcPr>
            <w:tcW w:w="538" w:type="dxa"/>
            <w:vAlign w:val="center"/>
          </w:tcPr>
          <w:p w14:paraId="04057ED5" w14:textId="77777777" w:rsidR="007954D8" w:rsidRPr="005363D8" w:rsidRDefault="007954D8" w:rsidP="00370DC1">
            <w:pPr>
              <w:spacing w:line="276" w:lineRule="auto"/>
              <w:contextualSpacing/>
              <w:jc w:val="both"/>
              <w:rPr>
                <w:rFonts w:cstheme="minorHAnsi"/>
                <w:b/>
                <w:i/>
                <w:iCs/>
              </w:rPr>
            </w:pPr>
            <w:r w:rsidRPr="005363D8">
              <w:rPr>
                <w:rFonts w:cstheme="minorHAnsi"/>
                <w:b/>
                <w:i/>
                <w:iCs/>
              </w:rPr>
              <w:t>2</w:t>
            </w:r>
          </w:p>
        </w:tc>
        <w:tc>
          <w:tcPr>
            <w:tcW w:w="3489" w:type="dxa"/>
            <w:vAlign w:val="center"/>
          </w:tcPr>
          <w:p w14:paraId="61DF73D7" w14:textId="71A99B05" w:rsidR="007954D8" w:rsidRPr="005363D8" w:rsidRDefault="00D84FBA" w:rsidP="007758F6">
            <w:pPr>
              <w:spacing w:line="276" w:lineRule="auto"/>
              <w:contextualSpacing/>
              <w:rPr>
                <w:rFonts w:cstheme="minorHAnsi"/>
                <w:b/>
                <w:i/>
                <w:iCs/>
              </w:rPr>
            </w:pPr>
            <w:r>
              <w:rPr>
                <w:rFonts w:cstheme="minorHAnsi"/>
                <w:b/>
                <w:i/>
                <w:iCs/>
              </w:rPr>
              <w:t xml:space="preserve">National supply </w:t>
            </w:r>
            <w:r w:rsidR="006C2D88">
              <w:rPr>
                <w:rFonts w:cstheme="minorHAnsi"/>
                <w:b/>
                <w:i/>
                <w:iCs/>
              </w:rPr>
              <w:t xml:space="preserve">and distribution </w:t>
            </w:r>
            <w:r>
              <w:rPr>
                <w:rFonts w:cstheme="minorHAnsi"/>
                <w:b/>
                <w:i/>
                <w:iCs/>
              </w:rPr>
              <w:t xml:space="preserve">challenges </w:t>
            </w:r>
          </w:p>
        </w:tc>
        <w:tc>
          <w:tcPr>
            <w:tcW w:w="4631" w:type="dxa"/>
            <w:vAlign w:val="center"/>
          </w:tcPr>
          <w:p w14:paraId="3E74F46E" w14:textId="628CCE96" w:rsidR="00577A85" w:rsidRPr="005363D8" w:rsidRDefault="00577A85" w:rsidP="00370DC1">
            <w:pPr>
              <w:pStyle w:val="ListParagraph"/>
              <w:numPr>
                <w:ilvl w:val="0"/>
                <w:numId w:val="11"/>
              </w:numPr>
              <w:spacing w:line="276" w:lineRule="auto"/>
              <w:jc w:val="left"/>
              <w:rPr>
                <w:rFonts w:asciiTheme="minorHAnsi" w:hAnsiTheme="minorHAnsi" w:cstheme="minorHAnsi"/>
                <w:i/>
                <w:iCs/>
              </w:rPr>
            </w:pPr>
          </w:p>
        </w:tc>
      </w:tr>
      <w:tr w:rsidR="007954D8" w:rsidRPr="00962853" w14:paraId="1D27F2C3" w14:textId="77777777" w:rsidTr="00FB0CBF">
        <w:trPr>
          <w:trHeight w:val="567"/>
        </w:trPr>
        <w:tc>
          <w:tcPr>
            <w:tcW w:w="538" w:type="dxa"/>
            <w:vAlign w:val="center"/>
          </w:tcPr>
          <w:p w14:paraId="3EFB6D0A" w14:textId="77777777" w:rsidR="007954D8" w:rsidRPr="005363D8" w:rsidRDefault="007954D8" w:rsidP="00370DC1">
            <w:pPr>
              <w:spacing w:line="276" w:lineRule="auto"/>
              <w:contextualSpacing/>
              <w:jc w:val="both"/>
              <w:rPr>
                <w:rFonts w:cstheme="minorHAnsi"/>
                <w:b/>
                <w:i/>
                <w:iCs/>
              </w:rPr>
            </w:pPr>
            <w:r w:rsidRPr="005363D8">
              <w:rPr>
                <w:rFonts w:cstheme="minorHAnsi"/>
                <w:b/>
                <w:i/>
                <w:iCs/>
              </w:rPr>
              <w:t>3</w:t>
            </w:r>
          </w:p>
        </w:tc>
        <w:tc>
          <w:tcPr>
            <w:tcW w:w="3489" w:type="dxa"/>
            <w:vAlign w:val="center"/>
          </w:tcPr>
          <w:p w14:paraId="4E92F086" w14:textId="5BCF68AC" w:rsidR="007954D8" w:rsidRPr="005363D8" w:rsidRDefault="007954D8" w:rsidP="007758F6">
            <w:pPr>
              <w:spacing w:line="276" w:lineRule="auto"/>
              <w:contextualSpacing/>
              <w:rPr>
                <w:rFonts w:cstheme="minorHAnsi"/>
                <w:b/>
                <w:i/>
                <w:iCs/>
                <w:color w:val="000000" w:themeColor="text1"/>
              </w:rPr>
            </w:pPr>
            <w:r w:rsidRPr="005363D8">
              <w:rPr>
                <w:rFonts w:cstheme="minorHAnsi"/>
                <w:b/>
                <w:i/>
                <w:iCs/>
                <w:color w:val="000000" w:themeColor="text1"/>
              </w:rPr>
              <w:t>International</w:t>
            </w:r>
            <w:r w:rsidR="00524ECA">
              <w:rPr>
                <w:rFonts w:cstheme="minorHAnsi"/>
                <w:b/>
                <w:i/>
                <w:iCs/>
                <w:color w:val="000000" w:themeColor="text1"/>
              </w:rPr>
              <w:t xml:space="preserve"> m</w:t>
            </w:r>
            <w:r w:rsidRPr="005363D8">
              <w:rPr>
                <w:rFonts w:cstheme="minorHAnsi"/>
                <w:b/>
                <w:i/>
                <w:iCs/>
                <w:color w:val="000000" w:themeColor="text1"/>
              </w:rPr>
              <w:t xml:space="preserve">anufacturing </w:t>
            </w:r>
            <w:r w:rsidR="00524ECA">
              <w:rPr>
                <w:rFonts w:cstheme="minorHAnsi"/>
                <w:b/>
                <w:i/>
                <w:iCs/>
                <w:color w:val="000000" w:themeColor="text1"/>
              </w:rPr>
              <w:t>c</w:t>
            </w:r>
            <w:r w:rsidRPr="005363D8">
              <w:rPr>
                <w:rFonts w:cstheme="minorHAnsi"/>
                <w:b/>
                <w:i/>
                <w:iCs/>
                <w:color w:val="000000" w:themeColor="text1"/>
              </w:rPr>
              <w:t>apacity</w:t>
            </w:r>
          </w:p>
        </w:tc>
        <w:tc>
          <w:tcPr>
            <w:tcW w:w="4631" w:type="dxa"/>
            <w:vAlign w:val="center"/>
          </w:tcPr>
          <w:p w14:paraId="5C755AC4" w14:textId="2374F082" w:rsidR="007954D8" w:rsidRPr="005363D8" w:rsidRDefault="007954D8" w:rsidP="00370DC1">
            <w:pPr>
              <w:pStyle w:val="ListParagraph"/>
              <w:numPr>
                <w:ilvl w:val="0"/>
                <w:numId w:val="11"/>
              </w:numPr>
              <w:spacing w:line="276" w:lineRule="auto"/>
              <w:jc w:val="left"/>
              <w:rPr>
                <w:rFonts w:asciiTheme="minorHAnsi" w:hAnsiTheme="minorHAnsi" w:cstheme="minorHAnsi"/>
                <w:i/>
                <w:iCs/>
                <w:color w:val="000000" w:themeColor="text1"/>
              </w:rPr>
            </w:pPr>
          </w:p>
        </w:tc>
      </w:tr>
      <w:tr w:rsidR="007954D8" w:rsidRPr="00962853" w14:paraId="6052E603" w14:textId="77777777" w:rsidTr="00FB0CBF">
        <w:trPr>
          <w:trHeight w:val="454"/>
        </w:trPr>
        <w:tc>
          <w:tcPr>
            <w:tcW w:w="538" w:type="dxa"/>
            <w:vAlign w:val="center"/>
          </w:tcPr>
          <w:p w14:paraId="59C23C3A" w14:textId="77777777" w:rsidR="007954D8" w:rsidRPr="005363D8" w:rsidRDefault="007954D8" w:rsidP="00370DC1">
            <w:pPr>
              <w:spacing w:line="276" w:lineRule="auto"/>
              <w:contextualSpacing/>
              <w:jc w:val="both"/>
              <w:rPr>
                <w:rFonts w:cstheme="minorHAnsi"/>
                <w:b/>
                <w:i/>
                <w:iCs/>
              </w:rPr>
            </w:pPr>
            <w:r w:rsidRPr="005363D8">
              <w:rPr>
                <w:rFonts w:cstheme="minorHAnsi"/>
                <w:b/>
                <w:i/>
                <w:iCs/>
              </w:rPr>
              <w:t>5</w:t>
            </w:r>
          </w:p>
        </w:tc>
        <w:tc>
          <w:tcPr>
            <w:tcW w:w="3489" w:type="dxa"/>
            <w:vAlign w:val="center"/>
          </w:tcPr>
          <w:p w14:paraId="0B8D6D64" w14:textId="77777777" w:rsidR="007954D8" w:rsidRPr="005363D8" w:rsidRDefault="007954D8" w:rsidP="007758F6">
            <w:pPr>
              <w:spacing w:line="276" w:lineRule="auto"/>
              <w:contextualSpacing/>
              <w:rPr>
                <w:rFonts w:cstheme="minorHAnsi"/>
                <w:b/>
                <w:i/>
                <w:iCs/>
              </w:rPr>
            </w:pPr>
            <w:r w:rsidRPr="005363D8">
              <w:rPr>
                <w:rFonts w:cstheme="minorHAnsi"/>
                <w:b/>
                <w:i/>
                <w:iCs/>
              </w:rPr>
              <w:t>Slow uptake of DTG based regimens</w:t>
            </w:r>
          </w:p>
        </w:tc>
        <w:tc>
          <w:tcPr>
            <w:tcW w:w="4631" w:type="dxa"/>
          </w:tcPr>
          <w:p w14:paraId="4BAA5385" w14:textId="4CA9F49D" w:rsidR="007954D8" w:rsidRPr="0094407D" w:rsidRDefault="007954D8" w:rsidP="00370DC1">
            <w:pPr>
              <w:pStyle w:val="ListParagraph"/>
              <w:numPr>
                <w:ilvl w:val="0"/>
                <w:numId w:val="35"/>
              </w:numPr>
              <w:spacing w:line="276" w:lineRule="auto"/>
              <w:rPr>
                <w:rFonts w:cstheme="minorHAnsi"/>
                <w:i/>
                <w:iCs/>
              </w:rPr>
            </w:pPr>
          </w:p>
        </w:tc>
      </w:tr>
      <w:tr w:rsidR="007954D8" w:rsidRPr="00962853" w14:paraId="2638DA87" w14:textId="77777777" w:rsidTr="00FB0CBF">
        <w:trPr>
          <w:trHeight w:val="454"/>
        </w:trPr>
        <w:tc>
          <w:tcPr>
            <w:tcW w:w="538" w:type="dxa"/>
            <w:vAlign w:val="center"/>
          </w:tcPr>
          <w:p w14:paraId="674EF2FB" w14:textId="77777777" w:rsidR="007954D8" w:rsidRPr="005363D8" w:rsidRDefault="007954D8" w:rsidP="00370DC1">
            <w:pPr>
              <w:spacing w:line="276" w:lineRule="auto"/>
              <w:contextualSpacing/>
              <w:jc w:val="both"/>
              <w:rPr>
                <w:rFonts w:cstheme="minorHAnsi"/>
                <w:b/>
                <w:i/>
                <w:iCs/>
              </w:rPr>
            </w:pPr>
            <w:r w:rsidRPr="005363D8">
              <w:rPr>
                <w:rFonts w:cstheme="minorHAnsi"/>
                <w:b/>
                <w:i/>
                <w:iCs/>
              </w:rPr>
              <w:t>6</w:t>
            </w:r>
          </w:p>
        </w:tc>
        <w:tc>
          <w:tcPr>
            <w:tcW w:w="3489" w:type="dxa"/>
            <w:vAlign w:val="center"/>
          </w:tcPr>
          <w:p w14:paraId="5ACC649E" w14:textId="53EDEBC5" w:rsidR="007954D8" w:rsidRPr="005363D8" w:rsidRDefault="007954D8" w:rsidP="007758F6">
            <w:pPr>
              <w:spacing w:line="276" w:lineRule="auto"/>
              <w:contextualSpacing/>
              <w:rPr>
                <w:rFonts w:cstheme="minorHAnsi"/>
                <w:b/>
                <w:i/>
                <w:iCs/>
                <w:color w:val="000000" w:themeColor="text1"/>
              </w:rPr>
            </w:pPr>
            <w:r w:rsidRPr="005363D8">
              <w:rPr>
                <w:rFonts w:cstheme="minorHAnsi"/>
                <w:b/>
                <w:i/>
                <w:iCs/>
                <w:color w:val="000000" w:themeColor="text1"/>
              </w:rPr>
              <w:t>Regulat</w:t>
            </w:r>
            <w:r w:rsidR="0094407D">
              <w:rPr>
                <w:rFonts w:cstheme="minorHAnsi"/>
                <w:b/>
                <w:i/>
                <w:iCs/>
                <w:color w:val="000000" w:themeColor="text1"/>
              </w:rPr>
              <w:t xml:space="preserve">ory </w:t>
            </w:r>
            <w:r w:rsidR="006C2D88">
              <w:rPr>
                <w:rFonts w:cstheme="minorHAnsi"/>
                <w:b/>
                <w:i/>
                <w:iCs/>
                <w:color w:val="000000" w:themeColor="text1"/>
              </w:rPr>
              <w:t>c</w:t>
            </w:r>
            <w:r w:rsidR="0094407D">
              <w:rPr>
                <w:rFonts w:cstheme="minorHAnsi"/>
                <w:b/>
                <w:i/>
                <w:iCs/>
                <w:color w:val="000000" w:themeColor="text1"/>
              </w:rPr>
              <w:t>hallenges</w:t>
            </w:r>
          </w:p>
        </w:tc>
        <w:tc>
          <w:tcPr>
            <w:tcW w:w="4631" w:type="dxa"/>
          </w:tcPr>
          <w:p w14:paraId="329C0356" w14:textId="47736599" w:rsidR="007954D8" w:rsidRPr="0094407D" w:rsidRDefault="007954D8" w:rsidP="00370DC1">
            <w:pPr>
              <w:pStyle w:val="ListParagraph"/>
              <w:numPr>
                <w:ilvl w:val="0"/>
                <w:numId w:val="35"/>
              </w:numPr>
              <w:spacing w:line="276" w:lineRule="auto"/>
              <w:rPr>
                <w:rFonts w:cstheme="minorHAnsi"/>
                <w:i/>
                <w:iCs/>
                <w:color w:val="000000" w:themeColor="text1"/>
              </w:rPr>
            </w:pPr>
          </w:p>
        </w:tc>
      </w:tr>
      <w:tr w:rsidR="00487F98" w:rsidRPr="00962853" w14:paraId="3C5532F6" w14:textId="77777777" w:rsidTr="00FB0CBF">
        <w:trPr>
          <w:trHeight w:val="454"/>
        </w:trPr>
        <w:tc>
          <w:tcPr>
            <w:tcW w:w="538" w:type="dxa"/>
            <w:vAlign w:val="center"/>
          </w:tcPr>
          <w:p w14:paraId="0A4B0501" w14:textId="2B90D824" w:rsidR="00487F98" w:rsidRPr="005363D8" w:rsidRDefault="00487F98" w:rsidP="00370DC1">
            <w:pPr>
              <w:spacing w:line="276" w:lineRule="auto"/>
              <w:contextualSpacing/>
              <w:jc w:val="both"/>
              <w:rPr>
                <w:rFonts w:cstheme="minorHAnsi"/>
                <w:b/>
                <w:i/>
                <w:iCs/>
              </w:rPr>
            </w:pPr>
            <w:r>
              <w:rPr>
                <w:rFonts w:cstheme="minorHAnsi"/>
                <w:b/>
                <w:i/>
                <w:iCs/>
              </w:rPr>
              <w:t>7</w:t>
            </w:r>
          </w:p>
        </w:tc>
        <w:tc>
          <w:tcPr>
            <w:tcW w:w="3489" w:type="dxa"/>
            <w:vAlign w:val="center"/>
          </w:tcPr>
          <w:p w14:paraId="7B0BB03B" w14:textId="60D3A3DF" w:rsidR="00487F98" w:rsidRPr="005363D8" w:rsidRDefault="00487F98" w:rsidP="007758F6">
            <w:pPr>
              <w:spacing w:line="276" w:lineRule="auto"/>
              <w:contextualSpacing/>
              <w:rPr>
                <w:rFonts w:cstheme="minorHAnsi"/>
                <w:b/>
                <w:i/>
                <w:iCs/>
                <w:color w:val="000000" w:themeColor="text1"/>
              </w:rPr>
            </w:pPr>
            <w:r>
              <w:rPr>
                <w:rFonts w:cstheme="minorHAnsi"/>
                <w:b/>
                <w:i/>
                <w:iCs/>
                <w:color w:val="000000" w:themeColor="text1"/>
              </w:rPr>
              <w:t>High stock levels of legacy formulations</w:t>
            </w:r>
          </w:p>
        </w:tc>
        <w:tc>
          <w:tcPr>
            <w:tcW w:w="4631" w:type="dxa"/>
          </w:tcPr>
          <w:p w14:paraId="0A74C278" w14:textId="77777777" w:rsidR="00487F98" w:rsidRPr="0094407D" w:rsidRDefault="00487F98" w:rsidP="00370DC1">
            <w:pPr>
              <w:pStyle w:val="ListParagraph"/>
              <w:numPr>
                <w:ilvl w:val="0"/>
                <w:numId w:val="35"/>
              </w:numPr>
              <w:spacing w:line="276" w:lineRule="auto"/>
              <w:rPr>
                <w:rFonts w:cstheme="minorHAnsi"/>
                <w:i/>
                <w:iCs/>
                <w:color w:val="000000" w:themeColor="text1"/>
              </w:rPr>
            </w:pPr>
          </w:p>
        </w:tc>
      </w:tr>
      <w:tr w:rsidR="007954D8" w:rsidRPr="00962853" w14:paraId="7D5924F5" w14:textId="77777777" w:rsidTr="00FB0CBF">
        <w:trPr>
          <w:trHeight w:val="340"/>
        </w:trPr>
        <w:tc>
          <w:tcPr>
            <w:tcW w:w="8658" w:type="dxa"/>
            <w:gridSpan w:val="3"/>
            <w:shd w:val="clear" w:color="auto" w:fill="B8CCE4" w:themeFill="accent1" w:themeFillTint="66"/>
            <w:vAlign w:val="center"/>
          </w:tcPr>
          <w:p w14:paraId="6E24302D" w14:textId="77777777" w:rsidR="007954D8" w:rsidRPr="005363D8" w:rsidRDefault="007954D8" w:rsidP="00370DC1">
            <w:pPr>
              <w:spacing w:line="276" w:lineRule="auto"/>
              <w:rPr>
                <w:rFonts w:cstheme="minorHAnsi"/>
                <w:i/>
                <w:iCs/>
                <w:color w:val="000000" w:themeColor="text1"/>
              </w:rPr>
            </w:pPr>
            <w:r w:rsidRPr="005363D8">
              <w:rPr>
                <w:rFonts w:cstheme="minorHAnsi"/>
                <w:b/>
                <w:i/>
                <w:iCs/>
              </w:rPr>
              <w:t>Communication Risks</w:t>
            </w:r>
          </w:p>
        </w:tc>
      </w:tr>
      <w:tr w:rsidR="007954D8" w:rsidRPr="00962853" w14:paraId="492515D3" w14:textId="77777777" w:rsidTr="00FB0CBF">
        <w:trPr>
          <w:trHeight w:val="510"/>
        </w:trPr>
        <w:tc>
          <w:tcPr>
            <w:tcW w:w="538" w:type="dxa"/>
            <w:vAlign w:val="center"/>
          </w:tcPr>
          <w:p w14:paraId="5FEBB986" w14:textId="512BC4A3" w:rsidR="007954D8" w:rsidRPr="005363D8" w:rsidRDefault="00487F98" w:rsidP="00370DC1">
            <w:pPr>
              <w:spacing w:line="276" w:lineRule="auto"/>
              <w:contextualSpacing/>
              <w:jc w:val="both"/>
              <w:rPr>
                <w:rFonts w:cstheme="minorHAnsi"/>
                <w:b/>
                <w:i/>
                <w:iCs/>
              </w:rPr>
            </w:pPr>
            <w:r>
              <w:rPr>
                <w:rFonts w:cstheme="minorHAnsi"/>
                <w:b/>
                <w:i/>
                <w:iCs/>
              </w:rPr>
              <w:lastRenderedPageBreak/>
              <w:t>8</w:t>
            </w:r>
          </w:p>
        </w:tc>
        <w:tc>
          <w:tcPr>
            <w:tcW w:w="3489" w:type="dxa"/>
            <w:vAlign w:val="center"/>
          </w:tcPr>
          <w:p w14:paraId="71392085" w14:textId="77777777" w:rsidR="007954D8" w:rsidRPr="005363D8" w:rsidRDefault="007954D8" w:rsidP="007758F6">
            <w:pPr>
              <w:spacing w:line="276" w:lineRule="auto"/>
              <w:contextualSpacing/>
              <w:rPr>
                <w:rFonts w:cstheme="minorHAnsi"/>
                <w:b/>
                <w:i/>
                <w:iCs/>
              </w:rPr>
            </w:pPr>
            <w:r w:rsidRPr="005363D8">
              <w:rPr>
                <w:rFonts w:cstheme="minorHAnsi"/>
                <w:b/>
                <w:i/>
                <w:iCs/>
              </w:rPr>
              <w:t>Resistance to regimen change by patients</w:t>
            </w:r>
          </w:p>
        </w:tc>
        <w:tc>
          <w:tcPr>
            <w:tcW w:w="4631" w:type="dxa"/>
          </w:tcPr>
          <w:p w14:paraId="37A17C2A" w14:textId="0CCF1071" w:rsidR="007954D8" w:rsidRPr="0094407D" w:rsidRDefault="007954D8" w:rsidP="00370DC1">
            <w:pPr>
              <w:pStyle w:val="ListParagraph"/>
              <w:numPr>
                <w:ilvl w:val="0"/>
                <w:numId w:val="35"/>
              </w:numPr>
              <w:spacing w:line="276" w:lineRule="auto"/>
              <w:rPr>
                <w:rFonts w:cstheme="minorHAnsi"/>
                <w:i/>
                <w:iCs/>
              </w:rPr>
            </w:pPr>
          </w:p>
        </w:tc>
      </w:tr>
      <w:tr w:rsidR="007954D8" w:rsidRPr="00962853" w14:paraId="74D4EB76" w14:textId="77777777" w:rsidTr="00FB0CBF">
        <w:trPr>
          <w:trHeight w:val="567"/>
        </w:trPr>
        <w:tc>
          <w:tcPr>
            <w:tcW w:w="538" w:type="dxa"/>
            <w:vAlign w:val="center"/>
          </w:tcPr>
          <w:p w14:paraId="2EC30CD4" w14:textId="17238732" w:rsidR="007954D8" w:rsidRPr="005363D8" w:rsidRDefault="00487F98" w:rsidP="00370DC1">
            <w:pPr>
              <w:spacing w:line="276" w:lineRule="auto"/>
              <w:contextualSpacing/>
              <w:jc w:val="both"/>
              <w:rPr>
                <w:rFonts w:cstheme="minorHAnsi"/>
                <w:b/>
                <w:i/>
                <w:iCs/>
              </w:rPr>
            </w:pPr>
            <w:r>
              <w:rPr>
                <w:rFonts w:cstheme="minorHAnsi"/>
                <w:b/>
                <w:i/>
                <w:iCs/>
              </w:rPr>
              <w:t>9</w:t>
            </w:r>
          </w:p>
        </w:tc>
        <w:tc>
          <w:tcPr>
            <w:tcW w:w="3489" w:type="dxa"/>
            <w:vAlign w:val="center"/>
          </w:tcPr>
          <w:p w14:paraId="0BCFFE4E" w14:textId="77777777" w:rsidR="007954D8" w:rsidRPr="005363D8" w:rsidRDefault="007954D8" w:rsidP="007758F6">
            <w:pPr>
              <w:spacing w:line="276" w:lineRule="auto"/>
              <w:contextualSpacing/>
              <w:rPr>
                <w:rFonts w:cstheme="minorHAnsi"/>
                <w:b/>
                <w:i/>
                <w:iCs/>
              </w:rPr>
            </w:pPr>
            <w:r w:rsidRPr="005363D8">
              <w:rPr>
                <w:rFonts w:cstheme="minorHAnsi"/>
                <w:b/>
                <w:i/>
                <w:iCs/>
              </w:rPr>
              <w:t>Resistance to change of prescription patterns by prescribers</w:t>
            </w:r>
          </w:p>
        </w:tc>
        <w:tc>
          <w:tcPr>
            <w:tcW w:w="4631" w:type="dxa"/>
            <w:vAlign w:val="center"/>
          </w:tcPr>
          <w:p w14:paraId="2B6FA335" w14:textId="222F54A5" w:rsidR="007954D8" w:rsidRPr="005363D8" w:rsidRDefault="007954D8" w:rsidP="00370DC1">
            <w:pPr>
              <w:pStyle w:val="ListParagraph"/>
              <w:numPr>
                <w:ilvl w:val="0"/>
                <w:numId w:val="11"/>
              </w:numPr>
              <w:spacing w:line="276" w:lineRule="auto"/>
              <w:jc w:val="left"/>
              <w:rPr>
                <w:rFonts w:asciiTheme="minorHAnsi" w:hAnsiTheme="minorHAnsi" w:cstheme="minorHAnsi"/>
                <w:i/>
                <w:iCs/>
              </w:rPr>
            </w:pPr>
          </w:p>
        </w:tc>
      </w:tr>
      <w:tr w:rsidR="007954D8" w:rsidRPr="00962853" w14:paraId="2A53EDE4" w14:textId="77777777" w:rsidTr="00FB0CBF">
        <w:trPr>
          <w:trHeight w:val="340"/>
        </w:trPr>
        <w:tc>
          <w:tcPr>
            <w:tcW w:w="8658" w:type="dxa"/>
            <w:gridSpan w:val="3"/>
            <w:shd w:val="clear" w:color="auto" w:fill="B8CCE4" w:themeFill="accent1" w:themeFillTint="66"/>
            <w:vAlign w:val="center"/>
          </w:tcPr>
          <w:p w14:paraId="0FC5978E" w14:textId="77777777" w:rsidR="007954D8" w:rsidRPr="005363D8" w:rsidRDefault="007954D8" w:rsidP="007758F6">
            <w:pPr>
              <w:spacing w:line="276" w:lineRule="auto"/>
              <w:rPr>
                <w:rFonts w:cstheme="minorHAnsi"/>
                <w:i/>
                <w:iCs/>
              </w:rPr>
            </w:pPr>
            <w:r w:rsidRPr="005363D8">
              <w:rPr>
                <w:rFonts w:cstheme="minorHAnsi"/>
                <w:b/>
                <w:i/>
                <w:iCs/>
              </w:rPr>
              <w:t>Facility-Level Risks</w:t>
            </w:r>
          </w:p>
        </w:tc>
      </w:tr>
      <w:tr w:rsidR="007954D8" w:rsidRPr="00962853" w14:paraId="0A5D47E8" w14:textId="77777777" w:rsidTr="00FB0CBF">
        <w:trPr>
          <w:trHeight w:val="454"/>
        </w:trPr>
        <w:tc>
          <w:tcPr>
            <w:tcW w:w="538" w:type="dxa"/>
            <w:vAlign w:val="center"/>
          </w:tcPr>
          <w:p w14:paraId="70DA0C5B" w14:textId="77777777" w:rsidR="007954D8" w:rsidRPr="005363D8" w:rsidRDefault="007954D8" w:rsidP="00370DC1">
            <w:pPr>
              <w:spacing w:line="276" w:lineRule="auto"/>
              <w:contextualSpacing/>
              <w:jc w:val="both"/>
              <w:rPr>
                <w:rFonts w:cstheme="minorHAnsi"/>
                <w:b/>
                <w:i/>
                <w:iCs/>
              </w:rPr>
            </w:pPr>
            <w:r w:rsidRPr="005363D8">
              <w:rPr>
                <w:rFonts w:cstheme="minorHAnsi"/>
                <w:b/>
                <w:i/>
                <w:iCs/>
              </w:rPr>
              <w:t>10</w:t>
            </w:r>
          </w:p>
        </w:tc>
        <w:tc>
          <w:tcPr>
            <w:tcW w:w="3489" w:type="dxa"/>
            <w:vAlign w:val="center"/>
          </w:tcPr>
          <w:p w14:paraId="7818F8AA" w14:textId="697ABC88" w:rsidR="007954D8" w:rsidRPr="005363D8" w:rsidRDefault="00F937C4" w:rsidP="007758F6">
            <w:pPr>
              <w:spacing w:line="276" w:lineRule="auto"/>
              <w:contextualSpacing/>
              <w:rPr>
                <w:rFonts w:cstheme="minorHAnsi"/>
                <w:b/>
                <w:i/>
                <w:iCs/>
              </w:rPr>
            </w:pPr>
            <w:r>
              <w:rPr>
                <w:rFonts w:cstheme="minorHAnsi"/>
                <w:b/>
                <w:i/>
                <w:iCs/>
              </w:rPr>
              <w:t>H</w:t>
            </w:r>
            <w:r w:rsidR="006C2D88">
              <w:rPr>
                <w:rFonts w:cstheme="minorHAnsi"/>
                <w:b/>
                <w:i/>
                <w:iCs/>
              </w:rPr>
              <w:t>CW</w:t>
            </w:r>
            <w:r>
              <w:rPr>
                <w:rFonts w:cstheme="minorHAnsi"/>
                <w:b/>
                <w:i/>
                <w:iCs/>
              </w:rPr>
              <w:t xml:space="preserve"> constraints </w:t>
            </w:r>
          </w:p>
        </w:tc>
        <w:tc>
          <w:tcPr>
            <w:tcW w:w="4631" w:type="dxa"/>
            <w:vAlign w:val="center"/>
          </w:tcPr>
          <w:p w14:paraId="6FB4E90B" w14:textId="23C75BB6" w:rsidR="007954D8" w:rsidRPr="005363D8" w:rsidRDefault="007954D8" w:rsidP="00370DC1">
            <w:pPr>
              <w:pStyle w:val="ListParagraph"/>
              <w:numPr>
                <w:ilvl w:val="0"/>
                <w:numId w:val="11"/>
              </w:numPr>
              <w:spacing w:line="276" w:lineRule="auto"/>
              <w:jc w:val="left"/>
              <w:rPr>
                <w:rFonts w:asciiTheme="minorHAnsi" w:hAnsiTheme="minorHAnsi" w:cstheme="minorHAnsi"/>
                <w:i/>
                <w:iCs/>
              </w:rPr>
            </w:pPr>
          </w:p>
        </w:tc>
      </w:tr>
      <w:tr w:rsidR="007954D8" w:rsidRPr="00962853" w14:paraId="73164D07" w14:textId="77777777" w:rsidTr="00FB0CBF">
        <w:trPr>
          <w:trHeight w:val="567"/>
        </w:trPr>
        <w:tc>
          <w:tcPr>
            <w:tcW w:w="538" w:type="dxa"/>
            <w:vAlign w:val="center"/>
          </w:tcPr>
          <w:p w14:paraId="73169C30" w14:textId="30FC0027" w:rsidR="007954D8" w:rsidRPr="005363D8" w:rsidRDefault="007954D8" w:rsidP="00370DC1">
            <w:pPr>
              <w:spacing w:line="276" w:lineRule="auto"/>
              <w:contextualSpacing/>
              <w:jc w:val="both"/>
              <w:rPr>
                <w:rFonts w:cstheme="minorHAnsi"/>
                <w:b/>
                <w:i/>
                <w:iCs/>
              </w:rPr>
            </w:pPr>
            <w:r w:rsidRPr="005363D8">
              <w:rPr>
                <w:rFonts w:cstheme="minorHAnsi"/>
                <w:b/>
                <w:i/>
                <w:iCs/>
              </w:rPr>
              <w:t>1</w:t>
            </w:r>
            <w:r w:rsidR="00487F98">
              <w:rPr>
                <w:rFonts w:cstheme="minorHAnsi"/>
                <w:b/>
                <w:i/>
                <w:iCs/>
              </w:rPr>
              <w:t>1</w:t>
            </w:r>
          </w:p>
        </w:tc>
        <w:tc>
          <w:tcPr>
            <w:tcW w:w="3489" w:type="dxa"/>
            <w:vAlign w:val="center"/>
          </w:tcPr>
          <w:p w14:paraId="4572E01D" w14:textId="77777777" w:rsidR="007954D8" w:rsidRPr="005363D8" w:rsidRDefault="007954D8" w:rsidP="007758F6">
            <w:pPr>
              <w:spacing w:line="276" w:lineRule="auto"/>
              <w:contextualSpacing/>
              <w:rPr>
                <w:rFonts w:cstheme="minorHAnsi"/>
                <w:b/>
                <w:i/>
                <w:iCs/>
              </w:rPr>
            </w:pPr>
            <w:r w:rsidRPr="005363D8">
              <w:rPr>
                <w:rFonts w:cstheme="minorHAnsi"/>
                <w:b/>
                <w:i/>
                <w:iCs/>
              </w:rPr>
              <w:t>Occurrence of previously unidentified side effects</w:t>
            </w:r>
          </w:p>
        </w:tc>
        <w:tc>
          <w:tcPr>
            <w:tcW w:w="4631" w:type="dxa"/>
            <w:vAlign w:val="center"/>
          </w:tcPr>
          <w:p w14:paraId="630C89FB" w14:textId="5D5965AF" w:rsidR="007954D8" w:rsidRPr="00F937C4" w:rsidRDefault="007954D8" w:rsidP="00370DC1">
            <w:pPr>
              <w:pStyle w:val="ListParagraph"/>
              <w:numPr>
                <w:ilvl w:val="0"/>
                <w:numId w:val="35"/>
              </w:numPr>
              <w:spacing w:line="276" w:lineRule="auto"/>
              <w:jc w:val="left"/>
              <w:rPr>
                <w:rFonts w:cstheme="minorHAnsi"/>
                <w:i/>
                <w:iCs/>
              </w:rPr>
            </w:pPr>
          </w:p>
        </w:tc>
      </w:tr>
      <w:tr w:rsidR="00B436FA" w:rsidRPr="00962853" w14:paraId="5B53B1E7" w14:textId="77777777" w:rsidTr="00FB0CBF">
        <w:trPr>
          <w:trHeight w:val="340"/>
        </w:trPr>
        <w:tc>
          <w:tcPr>
            <w:tcW w:w="8658" w:type="dxa"/>
            <w:gridSpan w:val="3"/>
            <w:shd w:val="clear" w:color="auto" w:fill="B8CCE4" w:themeFill="accent1" w:themeFillTint="66"/>
            <w:vAlign w:val="center"/>
          </w:tcPr>
          <w:p w14:paraId="2FC2B2D7" w14:textId="1036D099" w:rsidR="00B436FA" w:rsidRPr="005363D8" w:rsidRDefault="00B436FA" w:rsidP="007758F6">
            <w:pPr>
              <w:spacing w:line="276" w:lineRule="auto"/>
              <w:rPr>
                <w:rFonts w:cstheme="minorHAnsi"/>
                <w:b/>
                <w:i/>
                <w:iCs/>
              </w:rPr>
            </w:pPr>
            <w:r>
              <w:rPr>
                <w:rFonts w:cstheme="minorHAnsi"/>
                <w:b/>
                <w:i/>
                <w:iCs/>
              </w:rPr>
              <w:t>COVID-19 Risks</w:t>
            </w:r>
          </w:p>
        </w:tc>
      </w:tr>
      <w:tr w:rsidR="00B436FA" w:rsidRPr="00962853" w14:paraId="288FF485" w14:textId="77777777" w:rsidTr="00FB0CBF">
        <w:trPr>
          <w:trHeight w:val="567"/>
        </w:trPr>
        <w:tc>
          <w:tcPr>
            <w:tcW w:w="538" w:type="dxa"/>
            <w:vAlign w:val="center"/>
          </w:tcPr>
          <w:p w14:paraId="5F0BB66A" w14:textId="7F0155C5" w:rsidR="00B436FA" w:rsidRPr="005363D8" w:rsidRDefault="00B436FA" w:rsidP="00370DC1">
            <w:pPr>
              <w:spacing w:line="276" w:lineRule="auto"/>
              <w:contextualSpacing/>
              <w:jc w:val="both"/>
              <w:rPr>
                <w:rFonts w:cstheme="minorHAnsi"/>
                <w:b/>
                <w:i/>
                <w:iCs/>
              </w:rPr>
            </w:pPr>
            <w:r>
              <w:rPr>
                <w:rFonts w:cstheme="minorHAnsi"/>
                <w:b/>
                <w:i/>
                <w:iCs/>
              </w:rPr>
              <w:t>12</w:t>
            </w:r>
          </w:p>
        </w:tc>
        <w:tc>
          <w:tcPr>
            <w:tcW w:w="3489" w:type="dxa"/>
            <w:vAlign w:val="center"/>
          </w:tcPr>
          <w:p w14:paraId="5F61DB66" w14:textId="3F6906A1" w:rsidR="00B436FA" w:rsidRPr="005363D8" w:rsidRDefault="00836B64" w:rsidP="007758F6">
            <w:pPr>
              <w:spacing w:line="276" w:lineRule="auto"/>
              <w:contextualSpacing/>
              <w:rPr>
                <w:rFonts w:cstheme="minorHAnsi"/>
                <w:b/>
                <w:i/>
                <w:iCs/>
              </w:rPr>
            </w:pPr>
            <w:r>
              <w:rPr>
                <w:rFonts w:cstheme="minorHAnsi"/>
                <w:b/>
                <w:i/>
                <w:iCs/>
              </w:rPr>
              <w:t xml:space="preserve">Travel restrictions </w:t>
            </w:r>
          </w:p>
        </w:tc>
        <w:tc>
          <w:tcPr>
            <w:tcW w:w="4631" w:type="dxa"/>
            <w:vAlign w:val="center"/>
          </w:tcPr>
          <w:p w14:paraId="482AAF32" w14:textId="77777777" w:rsidR="00B436FA" w:rsidRPr="00F937C4" w:rsidRDefault="00B436FA" w:rsidP="00370DC1">
            <w:pPr>
              <w:pStyle w:val="ListParagraph"/>
              <w:numPr>
                <w:ilvl w:val="0"/>
                <w:numId w:val="35"/>
              </w:numPr>
              <w:spacing w:line="276" w:lineRule="auto"/>
              <w:jc w:val="left"/>
              <w:rPr>
                <w:rFonts w:cstheme="minorHAnsi"/>
                <w:i/>
                <w:iCs/>
              </w:rPr>
            </w:pPr>
          </w:p>
        </w:tc>
      </w:tr>
      <w:tr w:rsidR="00836B64" w:rsidRPr="00962853" w14:paraId="5223A252" w14:textId="77777777" w:rsidTr="00FB0CBF">
        <w:trPr>
          <w:trHeight w:val="567"/>
        </w:trPr>
        <w:tc>
          <w:tcPr>
            <w:tcW w:w="538" w:type="dxa"/>
            <w:vAlign w:val="center"/>
          </w:tcPr>
          <w:p w14:paraId="2BC452DF" w14:textId="57916C3B" w:rsidR="00836B64" w:rsidRDefault="00836B64" w:rsidP="00370DC1">
            <w:pPr>
              <w:spacing w:line="276" w:lineRule="auto"/>
              <w:contextualSpacing/>
              <w:jc w:val="both"/>
              <w:rPr>
                <w:rFonts w:cstheme="minorHAnsi"/>
                <w:b/>
                <w:i/>
                <w:iCs/>
              </w:rPr>
            </w:pPr>
            <w:r>
              <w:rPr>
                <w:rFonts w:cstheme="minorHAnsi"/>
                <w:b/>
                <w:i/>
                <w:iCs/>
              </w:rPr>
              <w:t>13</w:t>
            </w:r>
          </w:p>
        </w:tc>
        <w:tc>
          <w:tcPr>
            <w:tcW w:w="3489" w:type="dxa"/>
            <w:vAlign w:val="center"/>
          </w:tcPr>
          <w:p w14:paraId="25ABF082" w14:textId="593D66F1" w:rsidR="00836B64" w:rsidRDefault="00836B64" w:rsidP="007758F6">
            <w:pPr>
              <w:spacing w:line="276" w:lineRule="auto"/>
              <w:contextualSpacing/>
              <w:rPr>
                <w:rFonts w:cstheme="minorHAnsi"/>
                <w:b/>
                <w:i/>
                <w:iCs/>
              </w:rPr>
            </w:pPr>
            <w:r>
              <w:rPr>
                <w:rFonts w:cstheme="minorHAnsi"/>
                <w:b/>
                <w:i/>
                <w:iCs/>
              </w:rPr>
              <w:t xml:space="preserve">Restrictions on in-person meetings </w:t>
            </w:r>
          </w:p>
        </w:tc>
        <w:tc>
          <w:tcPr>
            <w:tcW w:w="4631" w:type="dxa"/>
            <w:vAlign w:val="center"/>
          </w:tcPr>
          <w:p w14:paraId="5036673E" w14:textId="77777777" w:rsidR="00836B64" w:rsidRPr="00F937C4" w:rsidRDefault="00836B64" w:rsidP="00370DC1">
            <w:pPr>
              <w:pStyle w:val="ListParagraph"/>
              <w:numPr>
                <w:ilvl w:val="0"/>
                <w:numId w:val="35"/>
              </w:numPr>
              <w:spacing w:line="276" w:lineRule="auto"/>
              <w:jc w:val="left"/>
              <w:rPr>
                <w:rFonts w:cstheme="minorHAnsi"/>
                <w:i/>
                <w:iCs/>
              </w:rPr>
            </w:pPr>
          </w:p>
        </w:tc>
      </w:tr>
    </w:tbl>
    <w:p w14:paraId="6D641DB5" w14:textId="77777777" w:rsidR="00024D37" w:rsidRPr="00962853" w:rsidRDefault="00024D37" w:rsidP="00370DC1">
      <w:pPr>
        <w:pStyle w:val="EndnoteText"/>
        <w:spacing w:line="276" w:lineRule="auto"/>
        <w:jc w:val="both"/>
        <w:rPr>
          <w:rFonts w:cstheme="minorHAnsi"/>
          <w:b/>
          <w:bCs/>
          <w:color w:val="548DD4" w:themeColor="text2" w:themeTint="99"/>
          <w:sz w:val="28"/>
          <w:szCs w:val="22"/>
        </w:rPr>
      </w:pPr>
    </w:p>
    <w:p w14:paraId="0F04E430" w14:textId="5CE7AE7C" w:rsidR="00020CE2" w:rsidRDefault="00020CE2" w:rsidP="00370DC1">
      <w:pPr>
        <w:pStyle w:val="Heading1"/>
        <w:numPr>
          <w:ilvl w:val="0"/>
          <w:numId w:val="23"/>
        </w:numPr>
        <w:jc w:val="both"/>
        <w:rPr>
          <w:rFonts w:asciiTheme="minorHAnsi" w:hAnsiTheme="minorHAnsi" w:cstheme="minorHAnsi"/>
        </w:rPr>
      </w:pPr>
      <w:r>
        <w:rPr>
          <w:rFonts w:asciiTheme="minorHAnsi" w:hAnsiTheme="minorHAnsi" w:cstheme="minorHAnsi"/>
        </w:rPr>
        <w:t xml:space="preserve">Roles &amp; </w:t>
      </w:r>
      <w:commentRangeStart w:id="11"/>
      <w:r>
        <w:rPr>
          <w:rFonts w:asciiTheme="minorHAnsi" w:hAnsiTheme="minorHAnsi" w:cstheme="minorHAnsi"/>
        </w:rPr>
        <w:t>Responsibilities</w:t>
      </w:r>
      <w:commentRangeEnd w:id="11"/>
      <w:r w:rsidR="0054307D">
        <w:rPr>
          <w:rStyle w:val="CommentReference"/>
          <w:rFonts w:asciiTheme="minorHAnsi" w:eastAsiaTheme="minorHAnsi" w:hAnsiTheme="minorHAnsi" w:cstheme="minorBidi"/>
          <w:color w:val="auto"/>
        </w:rPr>
        <w:commentReference w:id="11"/>
      </w:r>
    </w:p>
    <w:tbl>
      <w:tblPr>
        <w:tblW w:w="104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top w:w="72" w:type="dxa"/>
          <w:left w:w="72" w:type="dxa"/>
          <w:bottom w:w="72" w:type="dxa"/>
          <w:right w:w="72" w:type="dxa"/>
        </w:tblCellMar>
        <w:tblLook w:val="0600" w:firstRow="0" w:lastRow="0" w:firstColumn="0" w:lastColumn="0" w:noHBand="1" w:noVBand="1"/>
      </w:tblPr>
      <w:tblGrid>
        <w:gridCol w:w="2694"/>
        <w:gridCol w:w="7796"/>
      </w:tblGrid>
      <w:tr w:rsidR="00020CE2" w:rsidRPr="000157B6" w14:paraId="57DB8A51" w14:textId="77777777" w:rsidTr="007F5C54">
        <w:trPr>
          <w:trHeight w:val="115"/>
        </w:trPr>
        <w:tc>
          <w:tcPr>
            <w:tcW w:w="2694" w:type="dxa"/>
            <w:shd w:val="clear" w:color="auto" w:fill="244061" w:themeFill="accent1" w:themeFillShade="80"/>
            <w:tcMar>
              <w:top w:w="100" w:type="dxa"/>
              <w:left w:w="100" w:type="dxa"/>
              <w:bottom w:w="100" w:type="dxa"/>
              <w:right w:w="100" w:type="dxa"/>
            </w:tcMar>
            <w:vAlign w:val="center"/>
          </w:tcPr>
          <w:p w14:paraId="1AB2C60F" w14:textId="1E30F606" w:rsidR="00020CE2" w:rsidRPr="00834629" w:rsidRDefault="00834629" w:rsidP="00370DC1">
            <w:pPr>
              <w:ind w:left="100"/>
              <w:jc w:val="center"/>
              <w:rPr>
                <w:rFonts w:cstheme="minorHAnsi"/>
                <w:b/>
                <w:color w:val="FFFFFF" w:themeColor="background1"/>
                <w:szCs w:val="20"/>
              </w:rPr>
            </w:pPr>
            <w:r>
              <w:rPr>
                <w:rFonts w:cstheme="minorHAnsi"/>
                <w:b/>
                <w:color w:val="FFFFFF" w:themeColor="background1"/>
                <w:szCs w:val="20"/>
              </w:rPr>
              <w:t>STAKEHOLDERS</w:t>
            </w:r>
          </w:p>
        </w:tc>
        <w:tc>
          <w:tcPr>
            <w:tcW w:w="7796" w:type="dxa"/>
            <w:shd w:val="clear" w:color="auto" w:fill="244061" w:themeFill="accent1" w:themeFillShade="80"/>
            <w:vAlign w:val="center"/>
          </w:tcPr>
          <w:p w14:paraId="5764FA1A" w14:textId="575B14E0" w:rsidR="00020CE2" w:rsidRPr="00834629" w:rsidRDefault="00020CE2" w:rsidP="00370DC1">
            <w:pPr>
              <w:ind w:left="100"/>
              <w:jc w:val="center"/>
              <w:rPr>
                <w:rFonts w:cstheme="minorHAnsi"/>
                <w:b/>
                <w:color w:val="FFFFFF" w:themeColor="background1"/>
                <w:szCs w:val="20"/>
              </w:rPr>
            </w:pPr>
            <w:r w:rsidRPr="00834629">
              <w:rPr>
                <w:rFonts w:cstheme="minorHAnsi"/>
                <w:b/>
                <w:bCs/>
                <w:color w:val="FFFFFF" w:themeColor="background1"/>
                <w:szCs w:val="20"/>
              </w:rPr>
              <w:t>KEY RESPONSIBILITIES</w:t>
            </w:r>
          </w:p>
        </w:tc>
      </w:tr>
      <w:tr w:rsidR="007F5C54" w:rsidRPr="000157B6" w14:paraId="175EE236" w14:textId="77777777" w:rsidTr="007F5C54">
        <w:trPr>
          <w:trHeight w:val="543"/>
        </w:trPr>
        <w:tc>
          <w:tcPr>
            <w:tcW w:w="2694" w:type="dxa"/>
            <w:shd w:val="clear" w:color="auto" w:fill="E9F0F6"/>
            <w:tcMar>
              <w:top w:w="100" w:type="dxa"/>
              <w:left w:w="100" w:type="dxa"/>
              <w:bottom w:w="100" w:type="dxa"/>
              <w:right w:w="100" w:type="dxa"/>
            </w:tcMar>
            <w:vAlign w:val="center"/>
          </w:tcPr>
          <w:p w14:paraId="3FDC17A5" w14:textId="77777777" w:rsidR="0054307D" w:rsidRPr="00834629" w:rsidRDefault="0054307D" w:rsidP="00370DC1">
            <w:pPr>
              <w:rPr>
                <w:rFonts w:cstheme="minorHAnsi"/>
                <w:b/>
                <w:szCs w:val="20"/>
              </w:rPr>
            </w:pPr>
            <w:r w:rsidRPr="00834629">
              <w:rPr>
                <w:rFonts w:cstheme="minorHAnsi"/>
                <w:b/>
                <w:szCs w:val="20"/>
              </w:rPr>
              <w:t>National</w:t>
            </w:r>
          </w:p>
        </w:tc>
        <w:tc>
          <w:tcPr>
            <w:tcW w:w="7796" w:type="dxa"/>
            <w:vAlign w:val="center"/>
          </w:tcPr>
          <w:p w14:paraId="7983E33D" w14:textId="249F90B0" w:rsidR="0054307D" w:rsidRDefault="006C2D88"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Pr>
                <w:rFonts w:asciiTheme="minorHAnsi" w:hAnsiTheme="minorHAnsi" w:cstheme="minorHAnsi"/>
                <w:szCs w:val="20"/>
              </w:rPr>
              <w:t xml:space="preserve">National HIV </w:t>
            </w:r>
            <w:proofErr w:type="spellStart"/>
            <w:r>
              <w:rPr>
                <w:rFonts w:asciiTheme="minorHAnsi" w:hAnsiTheme="minorHAnsi" w:cstheme="minorHAnsi"/>
                <w:szCs w:val="20"/>
              </w:rPr>
              <w:t>Programme</w:t>
            </w:r>
            <w:proofErr w:type="spellEnd"/>
            <w:r w:rsidR="0054307D">
              <w:rPr>
                <w:rFonts w:asciiTheme="minorHAnsi" w:hAnsiTheme="minorHAnsi" w:cstheme="minorHAnsi"/>
                <w:szCs w:val="20"/>
              </w:rPr>
              <w:t xml:space="preserve">: </w:t>
            </w:r>
          </w:p>
          <w:p w14:paraId="53B1943E" w14:textId="54BCC1B8" w:rsidR="0054307D" w:rsidRDefault="0054307D" w:rsidP="00370DC1">
            <w:pPr>
              <w:pStyle w:val="ListParagraph"/>
              <w:numPr>
                <w:ilvl w:val="1"/>
                <w:numId w:val="38"/>
              </w:numPr>
              <w:pBdr>
                <w:top w:val="nil"/>
                <w:left w:val="nil"/>
                <w:bottom w:val="nil"/>
                <w:right w:val="nil"/>
                <w:between w:val="nil"/>
              </w:pBdr>
              <w:spacing w:after="0" w:line="276" w:lineRule="auto"/>
              <w:rPr>
                <w:rFonts w:asciiTheme="minorHAnsi" w:hAnsiTheme="minorHAnsi" w:cstheme="minorHAnsi"/>
                <w:szCs w:val="20"/>
              </w:rPr>
            </w:pPr>
            <w:r>
              <w:rPr>
                <w:rFonts w:asciiTheme="minorHAnsi" w:hAnsiTheme="minorHAnsi" w:cstheme="minorHAnsi"/>
                <w:szCs w:val="20"/>
              </w:rPr>
              <w:t>C</w:t>
            </w:r>
            <w:r w:rsidRPr="00834629">
              <w:rPr>
                <w:rFonts w:asciiTheme="minorHAnsi" w:hAnsiTheme="minorHAnsi" w:cstheme="minorHAnsi"/>
                <w:szCs w:val="20"/>
              </w:rPr>
              <w:t>oordination, mentoring/ coaching, collaboration, monitoring and evaluation, and support supervision</w:t>
            </w:r>
          </w:p>
          <w:p w14:paraId="68609DC3" w14:textId="35265692" w:rsidR="0054307D" w:rsidRPr="00834629" w:rsidRDefault="0054307D" w:rsidP="00370DC1">
            <w:pPr>
              <w:pStyle w:val="ListParagraph"/>
              <w:numPr>
                <w:ilvl w:val="1"/>
                <w:numId w:val="38"/>
              </w:numPr>
              <w:pBdr>
                <w:top w:val="nil"/>
                <w:left w:val="nil"/>
                <w:bottom w:val="nil"/>
                <w:right w:val="nil"/>
                <w:between w:val="nil"/>
              </w:pBdr>
              <w:spacing w:after="0" w:line="276" w:lineRule="auto"/>
              <w:rPr>
                <w:rFonts w:asciiTheme="minorHAnsi" w:hAnsiTheme="minorHAnsi" w:cstheme="minorHAnsi"/>
                <w:szCs w:val="20"/>
              </w:rPr>
            </w:pPr>
            <w:r>
              <w:rPr>
                <w:rFonts w:asciiTheme="minorHAnsi" w:hAnsiTheme="minorHAnsi" w:cstheme="minorHAnsi"/>
                <w:szCs w:val="20"/>
              </w:rPr>
              <w:t>Budgeting and planning</w:t>
            </w:r>
          </w:p>
          <w:p w14:paraId="5E90FCBE" w14:textId="77777777" w:rsidR="0054307D" w:rsidRPr="00834629" w:rsidRDefault="0054307D"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Pr>
                <w:rFonts w:asciiTheme="minorHAnsi" w:hAnsiTheme="minorHAnsi" w:cstheme="minorHAnsi"/>
                <w:szCs w:val="20"/>
              </w:rPr>
              <w:t>Warehouses</w:t>
            </w:r>
            <w:r w:rsidRPr="00834629">
              <w:rPr>
                <w:rFonts w:asciiTheme="minorHAnsi" w:hAnsiTheme="minorHAnsi" w:cstheme="minorHAnsi"/>
                <w:szCs w:val="20"/>
              </w:rPr>
              <w:t>: Procurement and distribution of commodities</w:t>
            </w:r>
          </w:p>
          <w:p w14:paraId="1F2721DD" w14:textId="44432717" w:rsidR="0054307D" w:rsidRPr="007F5C54" w:rsidRDefault="0054307D"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Pr>
                <w:rFonts w:asciiTheme="minorHAnsi" w:hAnsiTheme="minorHAnsi" w:cstheme="minorHAnsi"/>
                <w:szCs w:val="20"/>
              </w:rPr>
              <w:t>Supply Chain unit</w:t>
            </w:r>
            <w:r w:rsidRPr="00834629">
              <w:rPr>
                <w:rFonts w:asciiTheme="minorHAnsi" w:hAnsiTheme="minorHAnsi" w:cstheme="minorHAnsi"/>
                <w:szCs w:val="20"/>
              </w:rPr>
              <w:t>: Forecasting, quantification and procurement of commodities</w:t>
            </w:r>
            <w:r w:rsidRPr="0054307D">
              <w:rPr>
                <w:rFonts w:cstheme="minorHAnsi"/>
                <w:szCs w:val="20"/>
              </w:rPr>
              <w:t xml:space="preserve"> </w:t>
            </w:r>
          </w:p>
        </w:tc>
      </w:tr>
      <w:tr w:rsidR="00020CE2" w:rsidRPr="000157B6" w14:paraId="14CC396F" w14:textId="77777777" w:rsidTr="007F5C54">
        <w:trPr>
          <w:trHeight w:val="543"/>
        </w:trPr>
        <w:tc>
          <w:tcPr>
            <w:tcW w:w="2694" w:type="dxa"/>
            <w:shd w:val="clear" w:color="auto" w:fill="E9F0F6"/>
            <w:tcMar>
              <w:top w:w="100" w:type="dxa"/>
              <w:left w:w="100" w:type="dxa"/>
              <w:bottom w:w="100" w:type="dxa"/>
              <w:right w:w="100" w:type="dxa"/>
            </w:tcMar>
            <w:vAlign w:val="center"/>
          </w:tcPr>
          <w:p w14:paraId="0F37FEC8" w14:textId="77777777" w:rsidR="00020CE2" w:rsidRPr="000157B6" w:rsidRDefault="00020CE2" w:rsidP="00370DC1">
            <w:pPr>
              <w:rPr>
                <w:rFonts w:cstheme="minorHAnsi"/>
                <w:b/>
                <w:szCs w:val="20"/>
              </w:rPr>
            </w:pPr>
            <w:r w:rsidRPr="000157B6">
              <w:rPr>
                <w:rFonts w:cstheme="minorHAnsi"/>
                <w:b/>
                <w:bCs/>
                <w:szCs w:val="20"/>
              </w:rPr>
              <w:t>District</w:t>
            </w:r>
          </w:p>
        </w:tc>
        <w:tc>
          <w:tcPr>
            <w:tcW w:w="7796" w:type="dxa"/>
            <w:vAlign w:val="center"/>
          </w:tcPr>
          <w:p w14:paraId="7235FDAB" w14:textId="55D7282F" w:rsidR="00020CE2" w:rsidRPr="000157B6" w:rsidRDefault="00020CE2"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sidRPr="000157B6">
              <w:rPr>
                <w:rFonts w:asciiTheme="minorHAnsi" w:hAnsiTheme="minorHAnsi" w:cstheme="minorHAnsi"/>
                <w:szCs w:val="20"/>
              </w:rPr>
              <w:t xml:space="preserve">Reporting with support from the district </w:t>
            </w:r>
            <w:r w:rsidR="0054307D" w:rsidRPr="000157B6">
              <w:rPr>
                <w:rFonts w:asciiTheme="minorHAnsi" w:hAnsiTheme="minorHAnsi" w:cstheme="minorHAnsi"/>
                <w:szCs w:val="20"/>
              </w:rPr>
              <w:t>biostatistician</w:t>
            </w:r>
            <w:r w:rsidRPr="000157B6">
              <w:rPr>
                <w:rFonts w:asciiTheme="minorHAnsi" w:hAnsiTheme="minorHAnsi" w:cstheme="minorHAnsi"/>
                <w:szCs w:val="20"/>
              </w:rPr>
              <w:t xml:space="preserve"> </w:t>
            </w:r>
          </w:p>
          <w:p w14:paraId="1C51801C" w14:textId="20166C59" w:rsidR="00020CE2" w:rsidRPr="000157B6" w:rsidRDefault="00020CE2"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sidRPr="000157B6">
              <w:rPr>
                <w:rFonts w:asciiTheme="minorHAnsi" w:hAnsiTheme="minorHAnsi" w:cstheme="minorHAnsi"/>
                <w:szCs w:val="20"/>
              </w:rPr>
              <w:t xml:space="preserve">Provide oversight and support to health facilities to implement </w:t>
            </w:r>
            <w:r w:rsidR="00384C8D">
              <w:rPr>
                <w:rFonts w:asciiTheme="minorHAnsi" w:hAnsiTheme="minorHAnsi" w:cstheme="minorHAnsi"/>
                <w:szCs w:val="20"/>
              </w:rPr>
              <w:t>transition to pDTG</w:t>
            </w:r>
          </w:p>
          <w:p w14:paraId="5C53C57D" w14:textId="3DB65BDA" w:rsidR="00020CE2" w:rsidRPr="007F5C54" w:rsidRDefault="00020CE2"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b/>
                <w:szCs w:val="20"/>
              </w:rPr>
            </w:pPr>
            <w:r w:rsidRPr="000157B6">
              <w:rPr>
                <w:rFonts w:asciiTheme="minorHAnsi" w:hAnsiTheme="minorHAnsi" w:cstheme="minorHAnsi"/>
                <w:szCs w:val="20"/>
              </w:rPr>
              <w:t>Support supervision and mentorship to health facilities to support implementation</w:t>
            </w:r>
          </w:p>
        </w:tc>
      </w:tr>
      <w:tr w:rsidR="00020CE2" w:rsidRPr="000157B6" w14:paraId="1E7E9011" w14:textId="77777777" w:rsidTr="007F5C54">
        <w:trPr>
          <w:trHeight w:val="543"/>
        </w:trPr>
        <w:tc>
          <w:tcPr>
            <w:tcW w:w="2694" w:type="dxa"/>
            <w:shd w:val="clear" w:color="auto" w:fill="E9F0F6"/>
            <w:tcMar>
              <w:top w:w="100" w:type="dxa"/>
              <w:left w:w="100" w:type="dxa"/>
              <w:bottom w:w="100" w:type="dxa"/>
              <w:right w:w="100" w:type="dxa"/>
            </w:tcMar>
            <w:vAlign w:val="center"/>
          </w:tcPr>
          <w:p w14:paraId="79C415D0" w14:textId="77777777" w:rsidR="00020CE2" w:rsidRPr="000157B6" w:rsidRDefault="00020CE2" w:rsidP="00370DC1">
            <w:pPr>
              <w:rPr>
                <w:rFonts w:cstheme="minorHAnsi"/>
                <w:b/>
                <w:szCs w:val="20"/>
              </w:rPr>
            </w:pPr>
            <w:r w:rsidRPr="000157B6">
              <w:rPr>
                <w:rFonts w:cstheme="minorHAnsi"/>
                <w:b/>
                <w:bCs/>
                <w:szCs w:val="20"/>
              </w:rPr>
              <w:t>Implementing Partners</w:t>
            </w:r>
          </w:p>
        </w:tc>
        <w:tc>
          <w:tcPr>
            <w:tcW w:w="7796" w:type="dxa"/>
            <w:vAlign w:val="center"/>
          </w:tcPr>
          <w:p w14:paraId="7285B921" w14:textId="6D12DCCE" w:rsidR="00020CE2" w:rsidRPr="000157B6" w:rsidRDefault="00020CE2"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sidRPr="000157B6">
              <w:rPr>
                <w:rFonts w:asciiTheme="minorHAnsi" w:hAnsiTheme="minorHAnsi" w:cstheme="minorHAnsi"/>
                <w:szCs w:val="20"/>
              </w:rPr>
              <w:t xml:space="preserve">Jointly work with district teams and mentors to train and mentor health workers on </w:t>
            </w:r>
            <w:r w:rsidR="002F6746">
              <w:rPr>
                <w:rFonts w:asciiTheme="minorHAnsi" w:hAnsiTheme="minorHAnsi" w:cstheme="minorHAnsi"/>
                <w:szCs w:val="20"/>
              </w:rPr>
              <w:t>pDTG</w:t>
            </w:r>
          </w:p>
          <w:p w14:paraId="473D875B" w14:textId="2020B414" w:rsidR="00020CE2" w:rsidRPr="007F5C54" w:rsidRDefault="00020CE2"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sidRPr="000157B6">
              <w:rPr>
                <w:rFonts w:asciiTheme="minorHAnsi" w:hAnsiTheme="minorHAnsi" w:cstheme="minorHAnsi"/>
                <w:szCs w:val="20"/>
              </w:rPr>
              <w:t>Support reporting, data use and performance reviews at the health facility level through the district</w:t>
            </w:r>
          </w:p>
        </w:tc>
      </w:tr>
      <w:tr w:rsidR="00020CE2" w:rsidRPr="000157B6" w14:paraId="0EBC7090" w14:textId="77777777" w:rsidTr="007F5C54">
        <w:trPr>
          <w:trHeight w:val="543"/>
        </w:trPr>
        <w:tc>
          <w:tcPr>
            <w:tcW w:w="2694" w:type="dxa"/>
            <w:shd w:val="clear" w:color="auto" w:fill="E9F0F6"/>
            <w:tcMar>
              <w:top w:w="100" w:type="dxa"/>
              <w:left w:w="100" w:type="dxa"/>
              <w:bottom w:w="100" w:type="dxa"/>
              <w:right w:w="100" w:type="dxa"/>
            </w:tcMar>
            <w:vAlign w:val="center"/>
          </w:tcPr>
          <w:p w14:paraId="7869A620" w14:textId="77777777" w:rsidR="00020CE2" w:rsidRPr="000157B6" w:rsidRDefault="00020CE2" w:rsidP="00370DC1">
            <w:pPr>
              <w:rPr>
                <w:rFonts w:cstheme="minorHAnsi"/>
                <w:b/>
                <w:szCs w:val="20"/>
              </w:rPr>
            </w:pPr>
            <w:r w:rsidRPr="000157B6">
              <w:rPr>
                <w:rFonts w:cstheme="minorHAnsi"/>
                <w:b/>
                <w:bCs/>
                <w:szCs w:val="20"/>
              </w:rPr>
              <w:t>Health Facility</w:t>
            </w:r>
          </w:p>
        </w:tc>
        <w:tc>
          <w:tcPr>
            <w:tcW w:w="7796" w:type="dxa"/>
            <w:vAlign w:val="center"/>
          </w:tcPr>
          <w:p w14:paraId="0817248C" w14:textId="3C3872AE" w:rsidR="00020CE2" w:rsidRPr="000157B6" w:rsidRDefault="002F6746" w:rsidP="00370DC1">
            <w:pPr>
              <w:pStyle w:val="ListParagraph"/>
              <w:numPr>
                <w:ilvl w:val="0"/>
                <w:numId w:val="38"/>
              </w:numPr>
              <w:pBdr>
                <w:top w:val="nil"/>
                <w:left w:val="nil"/>
                <w:bottom w:val="nil"/>
                <w:right w:val="nil"/>
                <w:between w:val="nil"/>
              </w:pBdr>
              <w:spacing w:after="0" w:line="276" w:lineRule="auto"/>
              <w:jc w:val="left"/>
              <w:rPr>
                <w:rFonts w:asciiTheme="minorHAnsi" w:hAnsiTheme="minorHAnsi" w:cstheme="minorHAnsi"/>
                <w:szCs w:val="20"/>
              </w:rPr>
            </w:pPr>
            <w:r>
              <w:rPr>
                <w:rFonts w:asciiTheme="minorHAnsi" w:hAnsiTheme="minorHAnsi" w:cstheme="minorHAnsi"/>
                <w:szCs w:val="20"/>
              </w:rPr>
              <w:t xml:space="preserve">Transition eligible children living with HIV to pDTG </w:t>
            </w:r>
          </w:p>
          <w:p w14:paraId="7AE1B957" w14:textId="77777777" w:rsidR="00020CE2" w:rsidRPr="000157B6" w:rsidRDefault="00020CE2"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sidRPr="000157B6">
              <w:rPr>
                <w:rFonts w:asciiTheme="minorHAnsi" w:hAnsiTheme="minorHAnsi" w:cstheme="minorHAnsi"/>
                <w:szCs w:val="20"/>
              </w:rPr>
              <w:t>Routinely collect patient data and ensure accurate and complete documentation in the registers</w:t>
            </w:r>
          </w:p>
          <w:p w14:paraId="40903E6F" w14:textId="77777777" w:rsidR="00020CE2" w:rsidRPr="000157B6" w:rsidRDefault="00020CE2"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sidRPr="000157B6">
              <w:rPr>
                <w:rFonts w:asciiTheme="minorHAnsi" w:hAnsiTheme="minorHAnsi" w:cstheme="minorHAnsi"/>
                <w:szCs w:val="20"/>
              </w:rPr>
              <w:t>Quantification and ordering supplies</w:t>
            </w:r>
          </w:p>
          <w:p w14:paraId="458B5EB0" w14:textId="203E651C" w:rsidR="00020CE2" w:rsidRPr="000157B6" w:rsidRDefault="00020CE2"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sidRPr="000157B6">
              <w:rPr>
                <w:rFonts w:asciiTheme="minorHAnsi" w:hAnsiTheme="minorHAnsi" w:cstheme="minorHAnsi"/>
                <w:szCs w:val="20"/>
              </w:rPr>
              <w:t xml:space="preserve">Client </w:t>
            </w:r>
            <w:r w:rsidR="002F6746">
              <w:rPr>
                <w:rFonts w:asciiTheme="minorHAnsi" w:hAnsiTheme="minorHAnsi" w:cstheme="minorHAnsi"/>
                <w:szCs w:val="20"/>
              </w:rPr>
              <w:t xml:space="preserve">and caregiver </w:t>
            </w:r>
            <w:r w:rsidRPr="000157B6">
              <w:rPr>
                <w:rFonts w:asciiTheme="minorHAnsi" w:hAnsiTheme="minorHAnsi" w:cstheme="minorHAnsi"/>
                <w:szCs w:val="20"/>
              </w:rPr>
              <w:t>education</w:t>
            </w:r>
          </w:p>
        </w:tc>
      </w:tr>
      <w:tr w:rsidR="00020CE2" w:rsidRPr="000157B6" w14:paraId="43C6E3B0" w14:textId="77777777" w:rsidTr="007F5C54">
        <w:trPr>
          <w:trHeight w:val="543"/>
        </w:trPr>
        <w:tc>
          <w:tcPr>
            <w:tcW w:w="2694" w:type="dxa"/>
            <w:shd w:val="clear" w:color="auto" w:fill="E9F0F6"/>
            <w:tcMar>
              <w:top w:w="100" w:type="dxa"/>
              <w:left w:w="100" w:type="dxa"/>
              <w:bottom w:w="100" w:type="dxa"/>
              <w:right w:w="100" w:type="dxa"/>
            </w:tcMar>
            <w:vAlign w:val="center"/>
          </w:tcPr>
          <w:p w14:paraId="6E3709FE" w14:textId="17C797DB" w:rsidR="00020CE2" w:rsidRPr="000157B6" w:rsidRDefault="00020CE2" w:rsidP="00370DC1">
            <w:pPr>
              <w:rPr>
                <w:rFonts w:cstheme="minorHAnsi"/>
                <w:b/>
                <w:bCs/>
                <w:szCs w:val="20"/>
              </w:rPr>
            </w:pPr>
            <w:r w:rsidRPr="000157B6">
              <w:rPr>
                <w:rFonts w:cstheme="minorHAnsi"/>
                <w:b/>
                <w:bCs/>
                <w:szCs w:val="20"/>
              </w:rPr>
              <w:lastRenderedPageBreak/>
              <w:t>Civil Society</w:t>
            </w:r>
          </w:p>
        </w:tc>
        <w:tc>
          <w:tcPr>
            <w:tcW w:w="7796" w:type="dxa"/>
            <w:vAlign w:val="center"/>
          </w:tcPr>
          <w:p w14:paraId="7279BFFB" w14:textId="6510A0C2" w:rsidR="00020CE2" w:rsidRPr="000157B6" w:rsidRDefault="00BD11A9" w:rsidP="00370DC1">
            <w:pPr>
              <w:pStyle w:val="ListParagraph"/>
              <w:numPr>
                <w:ilvl w:val="0"/>
                <w:numId w:val="38"/>
              </w:numPr>
              <w:pBdr>
                <w:top w:val="nil"/>
                <w:left w:val="nil"/>
                <w:bottom w:val="nil"/>
                <w:right w:val="nil"/>
                <w:between w:val="nil"/>
              </w:pBdr>
              <w:spacing w:after="0" w:line="276" w:lineRule="auto"/>
              <w:rPr>
                <w:rFonts w:asciiTheme="minorHAnsi" w:hAnsiTheme="minorHAnsi" w:cstheme="minorHAnsi"/>
                <w:szCs w:val="20"/>
              </w:rPr>
            </w:pPr>
            <w:r>
              <w:rPr>
                <w:rFonts w:asciiTheme="minorHAnsi" w:hAnsiTheme="minorHAnsi" w:cstheme="minorHAnsi"/>
                <w:szCs w:val="20"/>
              </w:rPr>
              <w:t xml:space="preserve">Develop </w:t>
            </w:r>
            <w:r w:rsidR="00020CE2" w:rsidRPr="000157B6">
              <w:rPr>
                <w:rFonts w:asciiTheme="minorHAnsi" w:hAnsiTheme="minorHAnsi" w:cstheme="minorHAnsi"/>
                <w:szCs w:val="20"/>
              </w:rPr>
              <w:t>treatment literacy</w:t>
            </w:r>
            <w:r>
              <w:rPr>
                <w:rFonts w:asciiTheme="minorHAnsi" w:hAnsiTheme="minorHAnsi" w:cstheme="minorHAnsi"/>
                <w:szCs w:val="20"/>
              </w:rPr>
              <w:t xml:space="preserve"> materials</w:t>
            </w:r>
            <w:r w:rsidR="00020CE2" w:rsidRPr="000157B6">
              <w:rPr>
                <w:rFonts w:asciiTheme="minorHAnsi" w:hAnsiTheme="minorHAnsi" w:cstheme="minorHAnsi"/>
                <w:szCs w:val="20"/>
              </w:rPr>
              <w:t xml:space="preserve">, </w:t>
            </w:r>
            <w:r>
              <w:rPr>
                <w:rFonts w:asciiTheme="minorHAnsi" w:hAnsiTheme="minorHAnsi" w:cstheme="minorHAnsi"/>
                <w:szCs w:val="20"/>
              </w:rPr>
              <w:t xml:space="preserve">provide </w:t>
            </w:r>
            <w:r w:rsidR="00020CE2" w:rsidRPr="000157B6">
              <w:rPr>
                <w:rFonts w:asciiTheme="minorHAnsi" w:hAnsiTheme="minorHAnsi" w:cstheme="minorHAnsi"/>
                <w:szCs w:val="20"/>
              </w:rPr>
              <w:t>adherence support</w:t>
            </w:r>
            <w:r w:rsidR="00222C52">
              <w:rPr>
                <w:rFonts w:asciiTheme="minorHAnsi" w:hAnsiTheme="minorHAnsi" w:cstheme="minorHAnsi"/>
                <w:szCs w:val="20"/>
              </w:rPr>
              <w:t>, and generate demand</w:t>
            </w:r>
          </w:p>
        </w:tc>
      </w:tr>
    </w:tbl>
    <w:p w14:paraId="74A01200" w14:textId="77777777" w:rsidR="00020CE2" w:rsidRPr="00020CE2" w:rsidRDefault="00020CE2" w:rsidP="00370DC1"/>
    <w:p w14:paraId="3762E132" w14:textId="0B4C73D8" w:rsidR="00BC2B0A" w:rsidRPr="00962853" w:rsidRDefault="0065730D" w:rsidP="00370DC1">
      <w:pPr>
        <w:pStyle w:val="Heading1"/>
        <w:numPr>
          <w:ilvl w:val="0"/>
          <w:numId w:val="23"/>
        </w:numPr>
        <w:jc w:val="both"/>
        <w:rPr>
          <w:rFonts w:asciiTheme="minorHAnsi" w:hAnsiTheme="minorHAnsi" w:cstheme="minorHAnsi"/>
        </w:rPr>
      </w:pPr>
      <w:r w:rsidRPr="00962853">
        <w:rPr>
          <w:rFonts w:asciiTheme="minorHAnsi" w:hAnsiTheme="minorHAnsi" w:cstheme="minorHAnsi"/>
        </w:rPr>
        <w:t>Select Sites for pDTG introduction and scale-up</w:t>
      </w:r>
    </w:p>
    <w:p w14:paraId="5A42CDA1" w14:textId="2F3D447A" w:rsidR="00590771" w:rsidRPr="00962853" w:rsidRDefault="0065730D" w:rsidP="00370DC1">
      <w:pPr>
        <w:jc w:val="both"/>
        <w:rPr>
          <w:rFonts w:cstheme="minorHAnsi"/>
          <w:i/>
          <w:iCs/>
        </w:rPr>
      </w:pPr>
      <w:r w:rsidRPr="00625863">
        <w:rPr>
          <w:rFonts w:cstheme="minorHAnsi"/>
          <w:i/>
          <w:iCs/>
          <w:highlight w:val="yellow"/>
        </w:rPr>
        <w:t>[Provide detailed list/ screenshots of all facilities where pDTG will be introduced]</w:t>
      </w:r>
    </w:p>
    <w:sectPr w:rsidR="00590771" w:rsidRPr="00962853">
      <w:footerReference w:type="default" r:id="rId2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wati Kalra" w:date="2021-02-26T16:12:00Z" w:initials="SK">
    <w:p w14:paraId="65FF5CE0" w14:textId="1D4F73A4" w:rsidR="00372227" w:rsidRDefault="00372227">
      <w:pPr>
        <w:pStyle w:val="CommentText"/>
      </w:pPr>
      <w:r>
        <w:rPr>
          <w:rStyle w:val="CommentReference"/>
        </w:rPr>
        <w:annotationRef/>
      </w:r>
      <w:r>
        <w:t xml:space="preserve">Please edit all text highlighted in yellow </w:t>
      </w:r>
    </w:p>
  </w:comment>
  <w:comment w:id="1" w:author="Swati Kalra" w:date="2021-02-04T17:03:00Z" w:initials="SK">
    <w:p w14:paraId="517512B2" w14:textId="6BA09F64" w:rsidR="0043046F" w:rsidRDefault="0043046F">
      <w:pPr>
        <w:pStyle w:val="CommentText"/>
      </w:pPr>
      <w:r>
        <w:rPr>
          <w:rStyle w:val="CommentReference"/>
        </w:rPr>
        <w:annotationRef/>
      </w:r>
      <w:r>
        <w:t xml:space="preserve">Please insert MOH and partner logos, to emphasize that this is a national plan developed with the buy-in of all key stakeholders </w:t>
      </w:r>
    </w:p>
  </w:comment>
  <w:comment w:id="3" w:author="Swati Kalra" w:date="2021-02-23T22:00:00Z" w:initials="SK">
    <w:p w14:paraId="1F51CC13" w14:textId="6723492F" w:rsidR="0043046F" w:rsidRDefault="0043046F">
      <w:pPr>
        <w:pStyle w:val="CommentText"/>
      </w:pPr>
      <w:r>
        <w:rPr>
          <w:rStyle w:val="CommentReference"/>
        </w:rPr>
        <w:annotationRef/>
      </w:r>
      <w:r w:rsidRPr="006D7D7F">
        <w:rPr>
          <w:rFonts w:cstheme="minorHAnsi"/>
          <w:sz w:val="22"/>
          <w:szCs w:val="22"/>
        </w:rPr>
        <w:t xml:space="preserve">A detailed </w:t>
      </w:r>
      <w:hyperlink r:id="rId1" w:history="1">
        <w:r w:rsidRPr="006D7D7F">
          <w:rPr>
            <w:rStyle w:val="Hyperlink"/>
            <w:rFonts w:cstheme="minorHAnsi"/>
            <w:sz w:val="22"/>
            <w:szCs w:val="22"/>
          </w:rPr>
          <w:t>New Product Rollout Planning Template</w:t>
        </w:r>
      </w:hyperlink>
      <w:r>
        <w:rPr>
          <w:rFonts w:cstheme="minorHAnsi"/>
          <w:sz w:val="22"/>
          <w:szCs w:val="22"/>
        </w:rPr>
        <w:t xml:space="preserve"> can also be leveraged to map out and document timelines and activities. </w:t>
      </w:r>
    </w:p>
  </w:comment>
  <w:comment w:id="4" w:author="Swati Kalra" w:date="2021-02-26T16:46:00Z" w:initials="SK">
    <w:p w14:paraId="336634DC" w14:textId="630A906D" w:rsidR="00B56121" w:rsidRDefault="00B56121">
      <w:pPr>
        <w:pStyle w:val="CommentText"/>
      </w:pPr>
      <w:r>
        <w:rPr>
          <w:rStyle w:val="CommentReference"/>
        </w:rPr>
        <w:annotationRef/>
      </w:r>
      <w:r>
        <w:t>This screenshot is just an example; an editable PPT template is attached in email</w:t>
      </w:r>
    </w:p>
  </w:comment>
  <w:comment w:id="5" w:author="Swati Kalra" w:date="2021-02-26T16:18:00Z" w:initials="SK">
    <w:p w14:paraId="266D6532" w14:textId="3D4A4753" w:rsidR="00A62E20" w:rsidRDefault="00A62E20">
      <w:pPr>
        <w:pStyle w:val="CommentText"/>
      </w:pPr>
      <w:r>
        <w:rPr>
          <w:rStyle w:val="CommentReference"/>
        </w:rPr>
        <w:annotationRef/>
      </w:r>
      <w:r>
        <w:t>The screenshot below is an example of how the transition can be planned in a phased approach; a phased approach is not mandatory, and depends on your country’s context; an editable PPT template is attached in email</w:t>
      </w:r>
    </w:p>
  </w:comment>
  <w:comment w:id="6" w:author="Swati Kalra" w:date="2021-02-26T16:20:00Z" w:initials="SK">
    <w:p w14:paraId="486C2A60" w14:textId="671D1011" w:rsidR="00B017F8" w:rsidRDefault="00B017F8">
      <w:pPr>
        <w:pStyle w:val="CommentText"/>
      </w:pPr>
      <w:r>
        <w:rPr>
          <w:rStyle w:val="CommentReference"/>
        </w:rPr>
        <w:annotationRef/>
      </w:r>
      <w:r>
        <w:t xml:space="preserve">Please edit as per country context. </w:t>
      </w:r>
    </w:p>
  </w:comment>
  <w:comment w:id="7" w:author="Swati Kalra" w:date="2021-02-25T12:08:00Z" w:initials="SK">
    <w:p w14:paraId="2F53CCE0" w14:textId="4E0A3333" w:rsidR="0043046F" w:rsidRDefault="0043046F">
      <w:pPr>
        <w:pStyle w:val="CommentText"/>
      </w:pPr>
      <w:r>
        <w:rPr>
          <w:rStyle w:val="CommentReference"/>
        </w:rPr>
        <w:annotationRef/>
      </w:r>
      <w:r>
        <w:t>This is a</w:t>
      </w:r>
      <w:r w:rsidR="00451804">
        <w:t xml:space="preserve"> sample</w:t>
      </w:r>
      <w:r>
        <w:t xml:space="preserve"> training plan; an editable PPT template is attached in email</w:t>
      </w:r>
    </w:p>
  </w:comment>
  <w:comment w:id="8" w:author="Swati Kalra" w:date="2021-02-25T12:09:00Z" w:initials="SK">
    <w:p w14:paraId="46AF3C29" w14:textId="148389F8" w:rsidR="0043046F" w:rsidRDefault="0043046F">
      <w:pPr>
        <w:pStyle w:val="CommentText"/>
      </w:pPr>
      <w:r>
        <w:rPr>
          <w:rStyle w:val="CommentReference"/>
        </w:rPr>
        <w:annotationRef/>
      </w:r>
      <w:r>
        <w:rPr>
          <w:rStyle w:val="CommentReference"/>
        </w:rPr>
        <w:annotationRef/>
      </w:r>
      <w:r>
        <w:rPr>
          <w:rStyle w:val="CommentReference"/>
        </w:rPr>
        <w:annotationRef/>
      </w:r>
      <w:r>
        <w:t>Th</w:t>
      </w:r>
      <w:r w:rsidR="009743BB">
        <w:t>e list below</w:t>
      </w:r>
      <w:r>
        <w:t xml:space="preserve"> </w:t>
      </w:r>
      <w:r w:rsidR="00B14C96">
        <w:t xml:space="preserve">contains some </w:t>
      </w:r>
      <w:r w:rsidR="00A6165C">
        <w:t>sample documents</w:t>
      </w:r>
      <w:r>
        <w:t xml:space="preserve">; edit, as relevant </w:t>
      </w:r>
    </w:p>
  </w:comment>
  <w:comment w:id="9" w:author="Swati Kalra" w:date="2021-02-25T22:00:00Z" w:initials="SK">
    <w:p w14:paraId="372EB5E9" w14:textId="6145BF1C" w:rsidR="00451804" w:rsidRDefault="00451804">
      <w:pPr>
        <w:pStyle w:val="CommentText"/>
      </w:pPr>
      <w:r>
        <w:rPr>
          <w:rStyle w:val="CommentReference"/>
        </w:rPr>
        <w:annotationRef/>
      </w:r>
      <w:r>
        <w:t>This is a sample community engagement plan; an editable PPT template is attached in email</w:t>
      </w:r>
    </w:p>
  </w:comment>
  <w:comment w:id="10" w:author="Swati Kalra" w:date="2021-02-23T21:39:00Z" w:initials="SK">
    <w:p w14:paraId="465F6B15" w14:textId="2138B1C6" w:rsidR="0043046F" w:rsidRDefault="0043046F">
      <w:pPr>
        <w:pStyle w:val="CommentText"/>
      </w:pPr>
      <w:r>
        <w:t xml:space="preserve">The tools listed below are sample tools. Please adopt/ adapt the tools your country already has, and </w:t>
      </w:r>
      <w:r>
        <w:rPr>
          <w:rStyle w:val="CommentReference"/>
        </w:rPr>
        <w:annotationRef/>
      </w:r>
      <w:r>
        <w:t>edit the table, as relevant</w:t>
      </w:r>
    </w:p>
  </w:comment>
  <w:comment w:id="11" w:author="Swati Kalra" w:date="2021-02-23T21:44:00Z" w:initials="SK">
    <w:p w14:paraId="16B7EF9F" w14:textId="68F5ADE0" w:rsidR="0043046F" w:rsidRDefault="0043046F">
      <w:pPr>
        <w:pStyle w:val="CommentText"/>
      </w:pPr>
      <w:r>
        <w:rPr>
          <w:rStyle w:val="CommentReference"/>
        </w:rPr>
        <w:annotationRef/>
      </w:r>
      <w:r>
        <w:t>Edit, as relevant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5FF5CE0" w15:done="0"/>
  <w15:commentEx w15:paraId="517512B2" w15:done="0"/>
  <w15:commentEx w15:paraId="1F51CC13" w15:done="0"/>
  <w15:commentEx w15:paraId="336634DC" w15:done="0"/>
  <w15:commentEx w15:paraId="266D6532" w15:done="0"/>
  <w15:commentEx w15:paraId="486C2A60" w15:done="0"/>
  <w15:commentEx w15:paraId="2F53CCE0" w15:done="0"/>
  <w15:commentEx w15:paraId="46AF3C29" w15:done="0"/>
  <w15:commentEx w15:paraId="372EB5E9" w15:done="0"/>
  <w15:commentEx w15:paraId="465F6B15" w15:done="0"/>
  <w15:commentEx w15:paraId="16B7EF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E39C6F" w16cex:dateUtc="2021-02-26T10:42:00Z"/>
  <w16cex:commentExtensible w16cex:durableId="23C6A75D" w16cex:dateUtc="2021-02-04T11:33:00Z"/>
  <w16cex:commentExtensible w16cex:durableId="23DFF997" w16cex:dateUtc="2021-02-23T16:30:00Z"/>
  <w16cex:commentExtensible w16cex:durableId="23E3A482" w16cex:dateUtc="2021-02-26T11:16:00Z"/>
  <w16cex:commentExtensible w16cex:durableId="23E39DCE" w16cex:dateUtc="2021-02-26T10:48:00Z"/>
  <w16cex:commentExtensible w16cex:durableId="23E39E3B" w16cex:dateUtc="2021-02-26T10:50:00Z"/>
  <w16cex:commentExtensible w16cex:durableId="23E211A4" w16cex:dateUtc="2021-02-25T06:38:00Z"/>
  <w16cex:commentExtensible w16cex:durableId="23E21203" w16cex:dateUtc="2021-02-25T06:39:00Z"/>
  <w16cex:commentExtensible w16cex:durableId="23E29C69" w16cex:dateUtc="2021-02-25T16:30:00Z"/>
  <w16cex:commentExtensible w16cex:durableId="23DFF48C" w16cex:dateUtc="2021-02-23T16:09:00Z"/>
  <w16cex:commentExtensible w16cex:durableId="23DFF5AF" w16cex:dateUtc="2021-02-23T1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5FF5CE0" w16cid:durableId="23E39C6F"/>
  <w16cid:commentId w16cid:paraId="517512B2" w16cid:durableId="23C6A75D"/>
  <w16cid:commentId w16cid:paraId="1F51CC13" w16cid:durableId="23DFF997"/>
  <w16cid:commentId w16cid:paraId="336634DC" w16cid:durableId="23E3A482"/>
  <w16cid:commentId w16cid:paraId="266D6532" w16cid:durableId="23E39DCE"/>
  <w16cid:commentId w16cid:paraId="486C2A60" w16cid:durableId="23E39E3B"/>
  <w16cid:commentId w16cid:paraId="2F53CCE0" w16cid:durableId="23E211A4"/>
  <w16cid:commentId w16cid:paraId="46AF3C29" w16cid:durableId="23E21203"/>
  <w16cid:commentId w16cid:paraId="372EB5E9" w16cid:durableId="23E29C69"/>
  <w16cid:commentId w16cid:paraId="465F6B15" w16cid:durableId="23DFF48C"/>
  <w16cid:commentId w16cid:paraId="16B7EF9F" w16cid:durableId="23DFF5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6FEE6" w14:textId="77777777" w:rsidR="008655C4" w:rsidRDefault="008655C4" w:rsidP="001E77C2">
      <w:pPr>
        <w:spacing w:after="0" w:line="240" w:lineRule="auto"/>
      </w:pPr>
      <w:r>
        <w:separator/>
      </w:r>
    </w:p>
  </w:endnote>
  <w:endnote w:type="continuationSeparator" w:id="0">
    <w:p w14:paraId="6B011D42" w14:textId="77777777" w:rsidR="008655C4" w:rsidRDefault="008655C4" w:rsidP="001E77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6312691"/>
      <w:docPartObj>
        <w:docPartGallery w:val="Page Numbers (Bottom of Page)"/>
        <w:docPartUnique/>
      </w:docPartObj>
    </w:sdtPr>
    <w:sdtEndPr>
      <w:rPr>
        <w:noProof/>
        <w:sz w:val="16"/>
      </w:rPr>
    </w:sdtEndPr>
    <w:sdtContent>
      <w:p w14:paraId="002217A7" w14:textId="7BCE7BC8" w:rsidR="0043046F" w:rsidRPr="008211E0" w:rsidRDefault="0043046F">
        <w:pPr>
          <w:pStyle w:val="Footer"/>
          <w:jc w:val="right"/>
          <w:rPr>
            <w:sz w:val="16"/>
          </w:rPr>
        </w:pPr>
        <w:r w:rsidRPr="008211E0">
          <w:rPr>
            <w:sz w:val="16"/>
          </w:rPr>
          <w:fldChar w:fldCharType="begin"/>
        </w:r>
        <w:r w:rsidRPr="008211E0">
          <w:rPr>
            <w:sz w:val="16"/>
          </w:rPr>
          <w:instrText xml:space="preserve"> PAGE   \* MERGEFORMAT </w:instrText>
        </w:r>
        <w:r w:rsidRPr="008211E0">
          <w:rPr>
            <w:sz w:val="16"/>
          </w:rPr>
          <w:fldChar w:fldCharType="separate"/>
        </w:r>
        <w:r>
          <w:rPr>
            <w:noProof/>
            <w:sz w:val="16"/>
          </w:rPr>
          <w:t>8</w:t>
        </w:r>
        <w:r w:rsidRPr="008211E0">
          <w:rPr>
            <w:noProof/>
            <w:sz w:val="16"/>
          </w:rPr>
          <w:fldChar w:fldCharType="end"/>
        </w:r>
      </w:p>
    </w:sdtContent>
  </w:sdt>
  <w:p w14:paraId="36F210B9" w14:textId="77777777" w:rsidR="0043046F" w:rsidRDefault="00430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F1321" w14:textId="77777777" w:rsidR="008655C4" w:rsidRDefault="008655C4" w:rsidP="001E77C2">
      <w:pPr>
        <w:spacing w:after="0" w:line="240" w:lineRule="auto"/>
      </w:pPr>
      <w:r>
        <w:separator/>
      </w:r>
    </w:p>
  </w:footnote>
  <w:footnote w:type="continuationSeparator" w:id="0">
    <w:p w14:paraId="400A7AA0" w14:textId="77777777" w:rsidR="008655C4" w:rsidRDefault="008655C4" w:rsidP="001E77C2">
      <w:pPr>
        <w:spacing w:after="0" w:line="240" w:lineRule="auto"/>
      </w:pPr>
      <w:r>
        <w:continuationSeparator/>
      </w:r>
    </w:p>
  </w:footnote>
  <w:footnote w:id="1">
    <w:p w14:paraId="3AB1F4A7" w14:textId="77777777" w:rsidR="007758F6" w:rsidRPr="007758F6" w:rsidRDefault="007758F6" w:rsidP="007758F6">
      <w:pPr>
        <w:pStyle w:val="FootnoteText"/>
        <w:rPr>
          <w:rFonts w:asciiTheme="minorHAnsi" w:hAnsiTheme="minorHAnsi" w:cstheme="minorHAnsi"/>
          <w:sz w:val="16"/>
          <w:szCs w:val="16"/>
        </w:rPr>
      </w:pPr>
      <w:r w:rsidRPr="007758F6">
        <w:rPr>
          <w:rStyle w:val="FootnoteReference"/>
          <w:rFonts w:asciiTheme="minorHAnsi" w:hAnsiTheme="minorHAnsi" w:cstheme="minorHAnsi"/>
          <w:sz w:val="16"/>
          <w:szCs w:val="16"/>
        </w:rPr>
        <w:footnoteRef/>
      </w:r>
      <w:hyperlink r:id="rId1" w:history="1">
        <w:r w:rsidRPr="007758F6">
          <w:rPr>
            <w:rStyle w:val="Hyperlink"/>
            <w:rFonts w:asciiTheme="minorHAnsi" w:hAnsiTheme="minorHAnsi" w:cstheme="minorHAnsi"/>
            <w:sz w:val="16"/>
            <w:szCs w:val="16"/>
            <w:lang w:val="en-GB"/>
          </w:rPr>
          <w:t>2021 WHO Antiretroviral Therapy Guidelines</w:t>
        </w:r>
      </w:hyperlink>
      <w:r w:rsidRPr="007758F6">
        <w:rPr>
          <w:rStyle w:val="Hyperlink"/>
          <w:rFonts w:asciiTheme="minorHAnsi" w:hAnsiTheme="minorHAnsi" w:cstheme="minorHAnsi"/>
          <w:sz w:val="16"/>
          <w:szCs w:val="16"/>
          <w:lang w:val="en-GB"/>
        </w:rPr>
        <w:t>.</w:t>
      </w:r>
    </w:p>
  </w:footnote>
  <w:footnote w:id="2">
    <w:p w14:paraId="58037273" w14:textId="77777777" w:rsidR="007758F6" w:rsidRPr="007758F6" w:rsidRDefault="007758F6" w:rsidP="007758F6">
      <w:pPr>
        <w:pStyle w:val="FootnoteText"/>
        <w:rPr>
          <w:rStyle w:val="Hyperlink"/>
          <w:rFonts w:asciiTheme="minorHAnsi" w:hAnsiTheme="minorHAnsi" w:cstheme="minorHAnsi"/>
          <w:sz w:val="16"/>
          <w:szCs w:val="16"/>
        </w:rPr>
      </w:pPr>
      <w:r w:rsidRPr="007758F6">
        <w:rPr>
          <w:rStyle w:val="FootnoteReference"/>
          <w:rFonts w:asciiTheme="minorHAnsi" w:hAnsiTheme="minorHAnsi" w:cstheme="minorHAnsi"/>
          <w:sz w:val="16"/>
          <w:szCs w:val="16"/>
        </w:rPr>
        <w:footnoteRef/>
      </w:r>
      <w:r w:rsidRPr="007758F6">
        <w:rPr>
          <w:rFonts w:asciiTheme="minorHAnsi" w:hAnsiTheme="minorHAnsi" w:cstheme="minorHAnsi"/>
          <w:sz w:val="16"/>
          <w:szCs w:val="16"/>
        </w:rPr>
        <w:t xml:space="preserve"> </w:t>
      </w:r>
      <w:hyperlink r:id="rId2" w:history="1">
        <w:r w:rsidRPr="007758F6">
          <w:rPr>
            <w:rStyle w:val="Hyperlink"/>
            <w:rFonts w:asciiTheme="minorHAnsi" w:hAnsiTheme="minorHAnsi" w:cstheme="minorHAnsi"/>
            <w:sz w:val="16"/>
            <w:szCs w:val="16"/>
          </w:rPr>
          <w:t>Viatris DTG 10 mg Dispersible, Scored Tentative US FDA Approval Letter</w:t>
        </w:r>
      </w:hyperlink>
      <w:r w:rsidRPr="007758F6">
        <w:rPr>
          <w:rStyle w:val="Hyperlink"/>
          <w:rFonts w:asciiTheme="minorHAnsi" w:hAnsiTheme="minorHAnsi" w:cstheme="minorHAnsi"/>
          <w:sz w:val="16"/>
          <w:szCs w:val="16"/>
        </w:rPr>
        <w:t>.</w:t>
      </w:r>
    </w:p>
    <w:p w14:paraId="174A8012" w14:textId="77777777" w:rsidR="007758F6" w:rsidRPr="00275AA6" w:rsidRDefault="007758F6" w:rsidP="007758F6">
      <w:pPr>
        <w:pStyle w:val="FootnoteText"/>
      </w:pPr>
      <w:bookmarkStart w:id="2" w:name="_Hlk68176869"/>
      <w:r w:rsidRPr="007758F6">
        <w:rPr>
          <w:rStyle w:val="Hyperlink"/>
          <w:rFonts w:asciiTheme="minorHAnsi" w:hAnsiTheme="minorHAnsi" w:cstheme="minorHAnsi"/>
          <w:sz w:val="16"/>
          <w:szCs w:val="16"/>
          <w:vertAlign w:val="superscript"/>
        </w:rPr>
        <w:t>3</w:t>
      </w:r>
      <w:r w:rsidRPr="007758F6">
        <w:rPr>
          <w:rStyle w:val="Hyperlink"/>
          <w:rFonts w:asciiTheme="minorHAnsi" w:hAnsiTheme="minorHAnsi" w:cstheme="minorHAnsi"/>
          <w:sz w:val="16"/>
          <w:szCs w:val="16"/>
        </w:rPr>
        <w:t xml:space="preserve"> </w:t>
      </w:r>
      <w:hyperlink r:id="rId3" w:history="1">
        <w:r w:rsidRPr="007758F6">
          <w:rPr>
            <w:rStyle w:val="Hyperlink"/>
            <w:rFonts w:asciiTheme="minorHAnsi" w:hAnsiTheme="minorHAnsi" w:cstheme="minorHAnsi"/>
            <w:sz w:val="16"/>
            <w:szCs w:val="16"/>
          </w:rPr>
          <w:t>Macleods DTG 10 mg Dispersible, Scored Tentative US FDA Approval Letter.</w:t>
        </w:r>
      </w:hyperlink>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5D1"/>
    <w:multiLevelType w:val="hybridMultilevel"/>
    <w:tmpl w:val="1CC8957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41D04D6"/>
    <w:multiLevelType w:val="hybridMultilevel"/>
    <w:tmpl w:val="8C3C3A8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8183F34"/>
    <w:multiLevelType w:val="hybridMultilevel"/>
    <w:tmpl w:val="C604222C"/>
    <w:lvl w:ilvl="0" w:tplc="98E65DD4">
      <w:start w:val="1"/>
      <w:numFmt w:val="lowerRoman"/>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8A262AD"/>
    <w:multiLevelType w:val="hybridMultilevel"/>
    <w:tmpl w:val="C7E8AF24"/>
    <w:lvl w:ilvl="0" w:tplc="493E6182">
      <w:start w:val="2"/>
      <w:numFmt w:val="decimal"/>
      <w:lvlText w:val="%1.1"/>
      <w:lvlJc w:val="right"/>
      <w:pPr>
        <w:ind w:left="72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0ABF6318"/>
    <w:multiLevelType w:val="hybridMultilevel"/>
    <w:tmpl w:val="92CE930C"/>
    <w:lvl w:ilvl="0" w:tplc="1A16FF96">
      <w:start w:val="1"/>
      <w:numFmt w:val="decimal"/>
      <w:lvlText w:val="%1.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631336"/>
    <w:multiLevelType w:val="hybridMultilevel"/>
    <w:tmpl w:val="FADC70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CF42C5F"/>
    <w:multiLevelType w:val="multilevel"/>
    <w:tmpl w:val="D368D36A"/>
    <w:lvl w:ilvl="0">
      <w:start w:val="1"/>
      <w:numFmt w:val="decimal"/>
      <w:lvlText w:val="%1."/>
      <w:lvlJc w:val="left"/>
      <w:pPr>
        <w:ind w:left="360" w:hanging="360"/>
      </w:pPr>
    </w:lvl>
    <w:lvl w:ilvl="1">
      <w:start w:val="1"/>
      <w:numFmt w:val="decimal"/>
      <w:isLgl/>
      <w:lvlText w:val="%1.%2"/>
      <w:lvlJc w:val="left"/>
      <w:pPr>
        <w:ind w:left="480" w:hanging="480"/>
      </w:pPr>
      <w:rPr>
        <w:rFonts w:asciiTheme="minorHAnsi" w:hAnsiTheme="minorHAnsi" w:cstheme="minorHAnsi"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DEF46A4"/>
    <w:multiLevelType w:val="multilevel"/>
    <w:tmpl w:val="A288E97C"/>
    <w:lvl w:ilvl="0">
      <w:start w:val="1"/>
      <w:numFmt w:val="decimal"/>
      <w:lvlText w:val="%1."/>
      <w:lvlJc w:val="left"/>
      <w:pPr>
        <w:ind w:left="36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0FE441CC"/>
    <w:multiLevelType w:val="hybridMultilevel"/>
    <w:tmpl w:val="E17A82C0"/>
    <w:lvl w:ilvl="0" w:tplc="8D242D38">
      <w:start w:val="1"/>
      <w:numFmt w:val="bullet"/>
      <w:lvlText w:val="•"/>
      <w:lvlJc w:val="left"/>
      <w:pPr>
        <w:tabs>
          <w:tab w:val="num" w:pos="360"/>
        </w:tabs>
        <w:ind w:left="360" w:hanging="360"/>
      </w:pPr>
      <w:rPr>
        <w:rFonts w:ascii="Times" w:hAnsi="Time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301EBE"/>
    <w:multiLevelType w:val="hybridMultilevel"/>
    <w:tmpl w:val="38706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E66CE"/>
    <w:multiLevelType w:val="hybridMultilevel"/>
    <w:tmpl w:val="8A7ADF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152F5100"/>
    <w:multiLevelType w:val="hybridMultilevel"/>
    <w:tmpl w:val="4832F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5673584"/>
    <w:multiLevelType w:val="multilevel"/>
    <w:tmpl w:val="A288E97C"/>
    <w:lvl w:ilvl="0">
      <w:start w:val="1"/>
      <w:numFmt w:val="decimal"/>
      <w:lvlText w:val="%1."/>
      <w:lvlJc w:val="left"/>
      <w:pPr>
        <w:ind w:left="36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22F70E92"/>
    <w:multiLevelType w:val="hybridMultilevel"/>
    <w:tmpl w:val="442CC860"/>
    <w:lvl w:ilvl="0" w:tplc="1A16FF96">
      <w:start w:val="1"/>
      <w:numFmt w:val="decimal"/>
      <w:lvlText w:val="%1.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26622768"/>
    <w:multiLevelType w:val="hybridMultilevel"/>
    <w:tmpl w:val="FC2CCC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5F31A7"/>
    <w:multiLevelType w:val="multilevel"/>
    <w:tmpl w:val="A288E97C"/>
    <w:lvl w:ilvl="0">
      <w:start w:val="1"/>
      <w:numFmt w:val="decimal"/>
      <w:lvlText w:val="%1."/>
      <w:lvlJc w:val="left"/>
      <w:pPr>
        <w:ind w:left="36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30AD06B5"/>
    <w:multiLevelType w:val="multilevel"/>
    <w:tmpl w:val="A288E97C"/>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44B6182"/>
    <w:multiLevelType w:val="hybridMultilevel"/>
    <w:tmpl w:val="522CC176"/>
    <w:lvl w:ilvl="0" w:tplc="4D620B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AB4A84"/>
    <w:multiLevelType w:val="hybridMultilevel"/>
    <w:tmpl w:val="E10AB8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3FAE41DF"/>
    <w:multiLevelType w:val="multilevel"/>
    <w:tmpl w:val="A288E97C"/>
    <w:lvl w:ilvl="0">
      <w:start w:val="1"/>
      <w:numFmt w:val="decimal"/>
      <w:lvlText w:val="%1."/>
      <w:lvlJc w:val="left"/>
      <w:pPr>
        <w:ind w:left="36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375164D"/>
    <w:multiLevelType w:val="hybridMultilevel"/>
    <w:tmpl w:val="7E20F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8D72A05"/>
    <w:multiLevelType w:val="multilevel"/>
    <w:tmpl w:val="8F4CC046"/>
    <w:lvl w:ilvl="0">
      <w:start w:val="1"/>
      <w:numFmt w:val="lowerLetter"/>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C896AC9"/>
    <w:multiLevelType w:val="hybridMultilevel"/>
    <w:tmpl w:val="DE3C55B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4DE812AE"/>
    <w:multiLevelType w:val="hybridMultilevel"/>
    <w:tmpl w:val="A1747A82"/>
    <w:lvl w:ilvl="0" w:tplc="53F69658">
      <w:start w:val="1"/>
      <w:numFmt w:val="bullet"/>
      <w:lvlText w:val=""/>
      <w:lvlJc w:val="left"/>
      <w:pPr>
        <w:tabs>
          <w:tab w:val="num" w:pos="720"/>
        </w:tabs>
        <w:ind w:left="720" w:hanging="360"/>
      </w:pPr>
      <w:rPr>
        <w:rFonts w:ascii="Wingdings" w:hAnsi="Wingdings" w:hint="default"/>
      </w:rPr>
    </w:lvl>
    <w:lvl w:ilvl="1" w:tplc="2AE87ADC" w:tentative="1">
      <w:start w:val="1"/>
      <w:numFmt w:val="bullet"/>
      <w:lvlText w:val=""/>
      <w:lvlJc w:val="left"/>
      <w:pPr>
        <w:tabs>
          <w:tab w:val="num" w:pos="1440"/>
        </w:tabs>
        <w:ind w:left="1440" w:hanging="360"/>
      </w:pPr>
      <w:rPr>
        <w:rFonts w:ascii="Wingdings" w:hAnsi="Wingdings" w:hint="default"/>
      </w:rPr>
    </w:lvl>
    <w:lvl w:ilvl="2" w:tplc="B83E970A" w:tentative="1">
      <w:start w:val="1"/>
      <w:numFmt w:val="bullet"/>
      <w:lvlText w:val=""/>
      <w:lvlJc w:val="left"/>
      <w:pPr>
        <w:tabs>
          <w:tab w:val="num" w:pos="2160"/>
        </w:tabs>
        <w:ind w:left="2160" w:hanging="360"/>
      </w:pPr>
      <w:rPr>
        <w:rFonts w:ascii="Wingdings" w:hAnsi="Wingdings" w:hint="default"/>
      </w:rPr>
    </w:lvl>
    <w:lvl w:ilvl="3" w:tplc="CFC08C56" w:tentative="1">
      <w:start w:val="1"/>
      <w:numFmt w:val="bullet"/>
      <w:lvlText w:val=""/>
      <w:lvlJc w:val="left"/>
      <w:pPr>
        <w:tabs>
          <w:tab w:val="num" w:pos="2880"/>
        </w:tabs>
        <w:ind w:left="2880" w:hanging="360"/>
      </w:pPr>
      <w:rPr>
        <w:rFonts w:ascii="Wingdings" w:hAnsi="Wingdings" w:hint="default"/>
      </w:rPr>
    </w:lvl>
    <w:lvl w:ilvl="4" w:tplc="55BED7CC" w:tentative="1">
      <w:start w:val="1"/>
      <w:numFmt w:val="bullet"/>
      <w:lvlText w:val=""/>
      <w:lvlJc w:val="left"/>
      <w:pPr>
        <w:tabs>
          <w:tab w:val="num" w:pos="3600"/>
        </w:tabs>
        <w:ind w:left="3600" w:hanging="360"/>
      </w:pPr>
      <w:rPr>
        <w:rFonts w:ascii="Wingdings" w:hAnsi="Wingdings" w:hint="default"/>
      </w:rPr>
    </w:lvl>
    <w:lvl w:ilvl="5" w:tplc="486CB7E8" w:tentative="1">
      <w:start w:val="1"/>
      <w:numFmt w:val="bullet"/>
      <w:lvlText w:val=""/>
      <w:lvlJc w:val="left"/>
      <w:pPr>
        <w:tabs>
          <w:tab w:val="num" w:pos="4320"/>
        </w:tabs>
        <w:ind w:left="4320" w:hanging="360"/>
      </w:pPr>
      <w:rPr>
        <w:rFonts w:ascii="Wingdings" w:hAnsi="Wingdings" w:hint="default"/>
      </w:rPr>
    </w:lvl>
    <w:lvl w:ilvl="6" w:tplc="E948098A" w:tentative="1">
      <w:start w:val="1"/>
      <w:numFmt w:val="bullet"/>
      <w:lvlText w:val=""/>
      <w:lvlJc w:val="left"/>
      <w:pPr>
        <w:tabs>
          <w:tab w:val="num" w:pos="5040"/>
        </w:tabs>
        <w:ind w:left="5040" w:hanging="360"/>
      </w:pPr>
      <w:rPr>
        <w:rFonts w:ascii="Wingdings" w:hAnsi="Wingdings" w:hint="default"/>
      </w:rPr>
    </w:lvl>
    <w:lvl w:ilvl="7" w:tplc="304069CC" w:tentative="1">
      <w:start w:val="1"/>
      <w:numFmt w:val="bullet"/>
      <w:lvlText w:val=""/>
      <w:lvlJc w:val="left"/>
      <w:pPr>
        <w:tabs>
          <w:tab w:val="num" w:pos="5760"/>
        </w:tabs>
        <w:ind w:left="5760" w:hanging="360"/>
      </w:pPr>
      <w:rPr>
        <w:rFonts w:ascii="Wingdings" w:hAnsi="Wingdings" w:hint="default"/>
      </w:rPr>
    </w:lvl>
    <w:lvl w:ilvl="8" w:tplc="46E8914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7E761F"/>
    <w:multiLevelType w:val="hybridMultilevel"/>
    <w:tmpl w:val="29E8367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5" w15:restartNumberingAfterBreak="0">
    <w:nsid w:val="514D2CA5"/>
    <w:multiLevelType w:val="hybridMultilevel"/>
    <w:tmpl w:val="034E1B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509789C"/>
    <w:multiLevelType w:val="hybridMultilevel"/>
    <w:tmpl w:val="92C8A694"/>
    <w:lvl w:ilvl="0" w:tplc="8D242D38">
      <w:start w:val="1"/>
      <w:numFmt w:val="bullet"/>
      <w:lvlText w:val="•"/>
      <w:lvlJc w:val="left"/>
      <w:pPr>
        <w:tabs>
          <w:tab w:val="num" w:pos="360"/>
        </w:tabs>
        <w:ind w:left="360" w:hanging="360"/>
      </w:pPr>
      <w:rPr>
        <w:rFonts w:ascii="Times" w:hAnsi="Time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9A0D0E"/>
    <w:multiLevelType w:val="multilevel"/>
    <w:tmpl w:val="A288E97C"/>
    <w:lvl w:ilvl="0">
      <w:start w:val="1"/>
      <w:numFmt w:val="decimal"/>
      <w:lvlText w:val="%1."/>
      <w:lvlJc w:val="left"/>
      <w:pPr>
        <w:ind w:left="360" w:hanging="360"/>
      </w:p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5D625383"/>
    <w:multiLevelType w:val="hybridMultilevel"/>
    <w:tmpl w:val="413E64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DE97845"/>
    <w:multiLevelType w:val="hybridMultilevel"/>
    <w:tmpl w:val="91A4D4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60142D14"/>
    <w:multiLevelType w:val="hybridMultilevel"/>
    <w:tmpl w:val="CE029E1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 w15:restartNumberingAfterBreak="0">
    <w:nsid w:val="61EA1DE5"/>
    <w:multiLevelType w:val="hybridMultilevel"/>
    <w:tmpl w:val="CE029E1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2" w15:restartNumberingAfterBreak="0">
    <w:nsid w:val="630F0BD9"/>
    <w:multiLevelType w:val="hybridMultilevel"/>
    <w:tmpl w:val="52448D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68752FCA"/>
    <w:multiLevelType w:val="hybridMultilevel"/>
    <w:tmpl w:val="F5CAEA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7C05C4"/>
    <w:multiLevelType w:val="hybridMultilevel"/>
    <w:tmpl w:val="9A9CC9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9FA71E2"/>
    <w:multiLevelType w:val="hybridMultilevel"/>
    <w:tmpl w:val="5D54D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B90181"/>
    <w:multiLevelType w:val="hybridMultilevel"/>
    <w:tmpl w:val="B2C4AB6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6B8929D8"/>
    <w:multiLevelType w:val="hybridMultilevel"/>
    <w:tmpl w:val="199E0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3BF2CCD"/>
    <w:multiLevelType w:val="hybridMultilevel"/>
    <w:tmpl w:val="CE3425E0"/>
    <w:lvl w:ilvl="0" w:tplc="8D242D38">
      <w:start w:val="1"/>
      <w:numFmt w:val="bullet"/>
      <w:lvlText w:val="•"/>
      <w:lvlJc w:val="left"/>
      <w:pPr>
        <w:tabs>
          <w:tab w:val="num" w:pos="360"/>
        </w:tabs>
        <w:ind w:left="360" w:hanging="360"/>
      </w:pPr>
      <w:rPr>
        <w:rFonts w:ascii="Times" w:hAnsi="Time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4813E87"/>
    <w:multiLevelType w:val="hybridMultilevel"/>
    <w:tmpl w:val="1108D7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0"/>
  </w:num>
  <w:num w:numId="4">
    <w:abstractNumId w:val="39"/>
  </w:num>
  <w:num w:numId="5">
    <w:abstractNumId w:val="28"/>
  </w:num>
  <w:num w:numId="6">
    <w:abstractNumId w:val="34"/>
  </w:num>
  <w:num w:numId="7">
    <w:abstractNumId w:val="23"/>
  </w:num>
  <w:num w:numId="8">
    <w:abstractNumId w:val="8"/>
  </w:num>
  <w:num w:numId="9">
    <w:abstractNumId w:val="38"/>
  </w:num>
  <w:num w:numId="10">
    <w:abstractNumId w:val="26"/>
  </w:num>
  <w:num w:numId="11">
    <w:abstractNumId w:val="11"/>
  </w:num>
  <w:num w:numId="12">
    <w:abstractNumId w:val="20"/>
  </w:num>
  <w:num w:numId="13">
    <w:abstractNumId w:val="17"/>
  </w:num>
  <w:num w:numId="14">
    <w:abstractNumId w:val="14"/>
  </w:num>
  <w:num w:numId="15">
    <w:abstractNumId w:val="25"/>
  </w:num>
  <w:num w:numId="16">
    <w:abstractNumId w:val="9"/>
  </w:num>
  <w:num w:numId="17">
    <w:abstractNumId w:val="37"/>
  </w:num>
  <w:num w:numId="18">
    <w:abstractNumId w:val="35"/>
  </w:num>
  <w:num w:numId="19">
    <w:abstractNumId w:val="33"/>
  </w:num>
  <w:num w:numId="20">
    <w:abstractNumId w:val="18"/>
  </w:num>
  <w:num w:numId="21">
    <w:abstractNumId w:val="30"/>
  </w:num>
  <w:num w:numId="22">
    <w:abstractNumId w:val="31"/>
  </w:num>
  <w:num w:numId="23">
    <w:abstractNumId w:val="6"/>
  </w:num>
  <w:num w:numId="24">
    <w:abstractNumId w:val="4"/>
  </w:num>
  <w:num w:numId="25">
    <w:abstractNumId w:val="3"/>
  </w:num>
  <w:num w:numId="26">
    <w:abstractNumId w:val="13"/>
  </w:num>
  <w:num w:numId="27">
    <w:abstractNumId w:val="19"/>
  </w:num>
  <w:num w:numId="28">
    <w:abstractNumId w:val="12"/>
  </w:num>
  <w:num w:numId="29">
    <w:abstractNumId w:val="27"/>
  </w:num>
  <w:num w:numId="30">
    <w:abstractNumId w:val="7"/>
  </w:num>
  <w:num w:numId="31">
    <w:abstractNumId w:val="15"/>
  </w:num>
  <w:num w:numId="32">
    <w:abstractNumId w:val="16"/>
  </w:num>
  <w:num w:numId="33">
    <w:abstractNumId w:val="21"/>
  </w:num>
  <w:num w:numId="34">
    <w:abstractNumId w:val="32"/>
  </w:num>
  <w:num w:numId="35">
    <w:abstractNumId w:val="24"/>
  </w:num>
  <w:num w:numId="36">
    <w:abstractNumId w:val="29"/>
  </w:num>
  <w:num w:numId="37">
    <w:abstractNumId w:val="22"/>
  </w:num>
  <w:num w:numId="38">
    <w:abstractNumId w:val="5"/>
  </w:num>
  <w:num w:numId="39">
    <w:abstractNumId w:val="1"/>
  </w:num>
  <w:num w:numId="40">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wati Kalra">
    <w15:presenceInfo w15:providerId="None" w15:userId="Swati Kal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1"/>
  <w:activeWritingStyle w:appName="MSWord" w:lang="en-US" w:vendorID="64" w:dllVersion="6" w:nlCheck="1" w:checkStyle="0"/>
  <w:activeWritingStyle w:appName="MSWord" w:lang="en-GB"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4336"/>
    <w:rsid w:val="0000152C"/>
    <w:rsid w:val="00005183"/>
    <w:rsid w:val="00010F8B"/>
    <w:rsid w:val="000157B6"/>
    <w:rsid w:val="00020CE2"/>
    <w:rsid w:val="00024D37"/>
    <w:rsid w:val="00027A16"/>
    <w:rsid w:val="00035AD4"/>
    <w:rsid w:val="000410BB"/>
    <w:rsid w:val="00041475"/>
    <w:rsid w:val="00044D20"/>
    <w:rsid w:val="000545B2"/>
    <w:rsid w:val="00057C43"/>
    <w:rsid w:val="00080359"/>
    <w:rsid w:val="00090555"/>
    <w:rsid w:val="000A491A"/>
    <w:rsid w:val="000B6075"/>
    <w:rsid w:val="000C39B4"/>
    <w:rsid w:val="000C583B"/>
    <w:rsid w:val="000C64D1"/>
    <w:rsid w:val="000D1425"/>
    <w:rsid w:val="000D41E2"/>
    <w:rsid w:val="000D5293"/>
    <w:rsid w:val="000D54EF"/>
    <w:rsid w:val="000E3779"/>
    <w:rsid w:val="000E46B0"/>
    <w:rsid w:val="000E56FF"/>
    <w:rsid w:val="000E624C"/>
    <w:rsid w:val="000E6F7E"/>
    <w:rsid w:val="000F01B6"/>
    <w:rsid w:val="000F256B"/>
    <w:rsid w:val="000F6173"/>
    <w:rsid w:val="000F6517"/>
    <w:rsid w:val="00120BCD"/>
    <w:rsid w:val="001254D5"/>
    <w:rsid w:val="00131635"/>
    <w:rsid w:val="0014602A"/>
    <w:rsid w:val="0015050B"/>
    <w:rsid w:val="00151FEE"/>
    <w:rsid w:val="00156AF9"/>
    <w:rsid w:val="00164074"/>
    <w:rsid w:val="0016437C"/>
    <w:rsid w:val="00166976"/>
    <w:rsid w:val="001700B2"/>
    <w:rsid w:val="00193F00"/>
    <w:rsid w:val="0019572A"/>
    <w:rsid w:val="00197B1C"/>
    <w:rsid w:val="001A66F0"/>
    <w:rsid w:val="001B2DE3"/>
    <w:rsid w:val="001B3036"/>
    <w:rsid w:val="001B46AE"/>
    <w:rsid w:val="001C0AD9"/>
    <w:rsid w:val="001C3491"/>
    <w:rsid w:val="001C4B9C"/>
    <w:rsid w:val="001C7C4C"/>
    <w:rsid w:val="001D00CA"/>
    <w:rsid w:val="001E77C2"/>
    <w:rsid w:val="00207BFC"/>
    <w:rsid w:val="00213C32"/>
    <w:rsid w:val="002141E7"/>
    <w:rsid w:val="00221B8F"/>
    <w:rsid w:val="00222C52"/>
    <w:rsid w:val="002276C2"/>
    <w:rsid w:val="00234058"/>
    <w:rsid w:val="002342CF"/>
    <w:rsid w:val="002344DA"/>
    <w:rsid w:val="00237787"/>
    <w:rsid w:val="00242AAB"/>
    <w:rsid w:val="00243E9B"/>
    <w:rsid w:val="00257E7E"/>
    <w:rsid w:val="00262053"/>
    <w:rsid w:val="0027075E"/>
    <w:rsid w:val="00273FCE"/>
    <w:rsid w:val="00275EBA"/>
    <w:rsid w:val="00281E58"/>
    <w:rsid w:val="002876AE"/>
    <w:rsid w:val="002A02B4"/>
    <w:rsid w:val="002A0A16"/>
    <w:rsid w:val="002B7919"/>
    <w:rsid w:val="002D6A8B"/>
    <w:rsid w:val="002E54A0"/>
    <w:rsid w:val="002E63C3"/>
    <w:rsid w:val="002E7A75"/>
    <w:rsid w:val="002F5508"/>
    <w:rsid w:val="002F6746"/>
    <w:rsid w:val="002F74FC"/>
    <w:rsid w:val="00301396"/>
    <w:rsid w:val="00304D07"/>
    <w:rsid w:val="00306399"/>
    <w:rsid w:val="00310344"/>
    <w:rsid w:val="00311F1D"/>
    <w:rsid w:val="00312208"/>
    <w:rsid w:val="00315D4D"/>
    <w:rsid w:val="00322CB3"/>
    <w:rsid w:val="00323CA6"/>
    <w:rsid w:val="00334907"/>
    <w:rsid w:val="00335F56"/>
    <w:rsid w:val="003362F0"/>
    <w:rsid w:val="00337480"/>
    <w:rsid w:val="00341716"/>
    <w:rsid w:val="00344C6F"/>
    <w:rsid w:val="00353858"/>
    <w:rsid w:val="0035446F"/>
    <w:rsid w:val="003568BC"/>
    <w:rsid w:val="00357548"/>
    <w:rsid w:val="003610AC"/>
    <w:rsid w:val="003614F9"/>
    <w:rsid w:val="00370DC1"/>
    <w:rsid w:val="00372227"/>
    <w:rsid w:val="0037513C"/>
    <w:rsid w:val="00375589"/>
    <w:rsid w:val="0038384C"/>
    <w:rsid w:val="00384C8D"/>
    <w:rsid w:val="00392EEC"/>
    <w:rsid w:val="003A046D"/>
    <w:rsid w:val="003A39FC"/>
    <w:rsid w:val="003B4754"/>
    <w:rsid w:val="003B5475"/>
    <w:rsid w:val="003C09E6"/>
    <w:rsid w:val="003D0A76"/>
    <w:rsid w:val="003D2469"/>
    <w:rsid w:val="004134C4"/>
    <w:rsid w:val="0042470B"/>
    <w:rsid w:val="0043046F"/>
    <w:rsid w:val="00432536"/>
    <w:rsid w:val="004436C0"/>
    <w:rsid w:val="00446011"/>
    <w:rsid w:val="00450BFA"/>
    <w:rsid w:val="00451804"/>
    <w:rsid w:val="004534D0"/>
    <w:rsid w:val="00460625"/>
    <w:rsid w:val="00462B64"/>
    <w:rsid w:val="00463323"/>
    <w:rsid w:val="004653BD"/>
    <w:rsid w:val="00487F98"/>
    <w:rsid w:val="00496B4C"/>
    <w:rsid w:val="00497D08"/>
    <w:rsid w:val="004A661F"/>
    <w:rsid w:val="004B274E"/>
    <w:rsid w:val="004C1901"/>
    <w:rsid w:val="004C68C9"/>
    <w:rsid w:val="004C7E19"/>
    <w:rsid w:val="004D029A"/>
    <w:rsid w:val="004D17F6"/>
    <w:rsid w:val="004D7B65"/>
    <w:rsid w:val="004E4329"/>
    <w:rsid w:val="004F0209"/>
    <w:rsid w:val="0050047E"/>
    <w:rsid w:val="00503937"/>
    <w:rsid w:val="00507293"/>
    <w:rsid w:val="00520699"/>
    <w:rsid w:val="00524ECA"/>
    <w:rsid w:val="00532253"/>
    <w:rsid w:val="005363D8"/>
    <w:rsid w:val="005405AB"/>
    <w:rsid w:val="005405B8"/>
    <w:rsid w:val="0054307D"/>
    <w:rsid w:val="005519CF"/>
    <w:rsid w:val="005547F3"/>
    <w:rsid w:val="00566DD3"/>
    <w:rsid w:val="00576DFE"/>
    <w:rsid w:val="00577A85"/>
    <w:rsid w:val="00581108"/>
    <w:rsid w:val="00582770"/>
    <w:rsid w:val="00582F84"/>
    <w:rsid w:val="00590771"/>
    <w:rsid w:val="005967DF"/>
    <w:rsid w:val="005A2886"/>
    <w:rsid w:val="005A2D52"/>
    <w:rsid w:val="005A3BDE"/>
    <w:rsid w:val="005A5C71"/>
    <w:rsid w:val="005B4B29"/>
    <w:rsid w:val="005B526B"/>
    <w:rsid w:val="005B56CA"/>
    <w:rsid w:val="005B71B1"/>
    <w:rsid w:val="005D0FFC"/>
    <w:rsid w:val="005D6089"/>
    <w:rsid w:val="005E08D6"/>
    <w:rsid w:val="005E6796"/>
    <w:rsid w:val="005F29AA"/>
    <w:rsid w:val="00605E11"/>
    <w:rsid w:val="00607F4B"/>
    <w:rsid w:val="00611981"/>
    <w:rsid w:val="00615A48"/>
    <w:rsid w:val="006237B3"/>
    <w:rsid w:val="00624CE1"/>
    <w:rsid w:val="00625863"/>
    <w:rsid w:val="0063087C"/>
    <w:rsid w:val="00631395"/>
    <w:rsid w:val="00646740"/>
    <w:rsid w:val="00647FBF"/>
    <w:rsid w:val="0065130E"/>
    <w:rsid w:val="0065692A"/>
    <w:rsid w:val="0065730D"/>
    <w:rsid w:val="00661EE4"/>
    <w:rsid w:val="0066317A"/>
    <w:rsid w:val="00680126"/>
    <w:rsid w:val="00680AEB"/>
    <w:rsid w:val="006819B5"/>
    <w:rsid w:val="00683A9C"/>
    <w:rsid w:val="006849A5"/>
    <w:rsid w:val="0068656C"/>
    <w:rsid w:val="0069287D"/>
    <w:rsid w:val="00693363"/>
    <w:rsid w:val="006A5DDB"/>
    <w:rsid w:val="006B28CD"/>
    <w:rsid w:val="006C2D88"/>
    <w:rsid w:val="006D7D7F"/>
    <w:rsid w:val="006E7E89"/>
    <w:rsid w:val="00701BCC"/>
    <w:rsid w:val="0070220A"/>
    <w:rsid w:val="00707791"/>
    <w:rsid w:val="00720AE7"/>
    <w:rsid w:val="007371AE"/>
    <w:rsid w:val="00741599"/>
    <w:rsid w:val="007417B9"/>
    <w:rsid w:val="00743964"/>
    <w:rsid w:val="00764E88"/>
    <w:rsid w:val="00770394"/>
    <w:rsid w:val="007757F7"/>
    <w:rsid w:val="007758F6"/>
    <w:rsid w:val="007820F1"/>
    <w:rsid w:val="00782A1B"/>
    <w:rsid w:val="0078468E"/>
    <w:rsid w:val="007954D8"/>
    <w:rsid w:val="00797877"/>
    <w:rsid w:val="007A196E"/>
    <w:rsid w:val="007A556D"/>
    <w:rsid w:val="007A7F4F"/>
    <w:rsid w:val="007B070C"/>
    <w:rsid w:val="007B23EA"/>
    <w:rsid w:val="007B5A24"/>
    <w:rsid w:val="007D0E8F"/>
    <w:rsid w:val="007D5543"/>
    <w:rsid w:val="007E3184"/>
    <w:rsid w:val="007F5C54"/>
    <w:rsid w:val="00800431"/>
    <w:rsid w:val="0080209B"/>
    <w:rsid w:val="00810ADA"/>
    <w:rsid w:val="00813090"/>
    <w:rsid w:val="00815B11"/>
    <w:rsid w:val="008211E0"/>
    <w:rsid w:val="008223ED"/>
    <w:rsid w:val="00834629"/>
    <w:rsid w:val="00835B9C"/>
    <w:rsid w:val="00836B64"/>
    <w:rsid w:val="0084062F"/>
    <w:rsid w:val="00842DC3"/>
    <w:rsid w:val="00844DFA"/>
    <w:rsid w:val="00852353"/>
    <w:rsid w:val="008655C4"/>
    <w:rsid w:val="00874B50"/>
    <w:rsid w:val="008815E6"/>
    <w:rsid w:val="00887D81"/>
    <w:rsid w:val="008944BD"/>
    <w:rsid w:val="008B5F92"/>
    <w:rsid w:val="008C59C7"/>
    <w:rsid w:val="008E048A"/>
    <w:rsid w:val="008E08B3"/>
    <w:rsid w:val="008E3179"/>
    <w:rsid w:val="009065EE"/>
    <w:rsid w:val="009128B9"/>
    <w:rsid w:val="009323E0"/>
    <w:rsid w:val="009411D6"/>
    <w:rsid w:val="0094407D"/>
    <w:rsid w:val="00962853"/>
    <w:rsid w:val="00963E03"/>
    <w:rsid w:val="00972673"/>
    <w:rsid w:val="009743BB"/>
    <w:rsid w:val="00980F9E"/>
    <w:rsid w:val="00981128"/>
    <w:rsid w:val="0098117C"/>
    <w:rsid w:val="009858DA"/>
    <w:rsid w:val="00986EE6"/>
    <w:rsid w:val="00990C49"/>
    <w:rsid w:val="009A00B4"/>
    <w:rsid w:val="009A368E"/>
    <w:rsid w:val="009A4BED"/>
    <w:rsid w:val="009B0E41"/>
    <w:rsid w:val="009B4336"/>
    <w:rsid w:val="009C25C5"/>
    <w:rsid w:val="009D6883"/>
    <w:rsid w:val="009E0F22"/>
    <w:rsid w:val="009F5C8A"/>
    <w:rsid w:val="00A00E51"/>
    <w:rsid w:val="00A01699"/>
    <w:rsid w:val="00A0376C"/>
    <w:rsid w:val="00A25F7F"/>
    <w:rsid w:val="00A26F16"/>
    <w:rsid w:val="00A32A62"/>
    <w:rsid w:val="00A3530F"/>
    <w:rsid w:val="00A6165C"/>
    <w:rsid w:val="00A62E20"/>
    <w:rsid w:val="00A723C2"/>
    <w:rsid w:val="00A735C3"/>
    <w:rsid w:val="00A7455C"/>
    <w:rsid w:val="00A75FFE"/>
    <w:rsid w:val="00A76E58"/>
    <w:rsid w:val="00A97DB5"/>
    <w:rsid w:val="00AA102F"/>
    <w:rsid w:val="00AA25FF"/>
    <w:rsid w:val="00AA3C3A"/>
    <w:rsid w:val="00AB0085"/>
    <w:rsid w:val="00AB43BC"/>
    <w:rsid w:val="00AB7288"/>
    <w:rsid w:val="00AE261C"/>
    <w:rsid w:val="00AE5000"/>
    <w:rsid w:val="00AE70D5"/>
    <w:rsid w:val="00AF1222"/>
    <w:rsid w:val="00AF3E0F"/>
    <w:rsid w:val="00AF7683"/>
    <w:rsid w:val="00B017F8"/>
    <w:rsid w:val="00B04E31"/>
    <w:rsid w:val="00B06F9B"/>
    <w:rsid w:val="00B10DD5"/>
    <w:rsid w:val="00B11E2C"/>
    <w:rsid w:val="00B14C96"/>
    <w:rsid w:val="00B16D03"/>
    <w:rsid w:val="00B217DD"/>
    <w:rsid w:val="00B31DB1"/>
    <w:rsid w:val="00B32727"/>
    <w:rsid w:val="00B34C75"/>
    <w:rsid w:val="00B419AF"/>
    <w:rsid w:val="00B436FA"/>
    <w:rsid w:val="00B5211C"/>
    <w:rsid w:val="00B56121"/>
    <w:rsid w:val="00B84955"/>
    <w:rsid w:val="00B85AD8"/>
    <w:rsid w:val="00B8606F"/>
    <w:rsid w:val="00B86F75"/>
    <w:rsid w:val="00B91AFA"/>
    <w:rsid w:val="00BA102C"/>
    <w:rsid w:val="00BA1348"/>
    <w:rsid w:val="00BA59BB"/>
    <w:rsid w:val="00BB3195"/>
    <w:rsid w:val="00BB3487"/>
    <w:rsid w:val="00BC1DB5"/>
    <w:rsid w:val="00BC2B0A"/>
    <w:rsid w:val="00BC5821"/>
    <w:rsid w:val="00BD11A9"/>
    <w:rsid w:val="00BD57E0"/>
    <w:rsid w:val="00BE1EB9"/>
    <w:rsid w:val="00BE2381"/>
    <w:rsid w:val="00BF23FF"/>
    <w:rsid w:val="00BF28C7"/>
    <w:rsid w:val="00C0746C"/>
    <w:rsid w:val="00C177B8"/>
    <w:rsid w:val="00C22362"/>
    <w:rsid w:val="00C22B98"/>
    <w:rsid w:val="00C22FDC"/>
    <w:rsid w:val="00C23D55"/>
    <w:rsid w:val="00C25755"/>
    <w:rsid w:val="00C2587A"/>
    <w:rsid w:val="00C27463"/>
    <w:rsid w:val="00C276F5"/>
    <w:rsid w:val="00C302D3"/>
    <w:rsid w:val="00C44DB3"/>
    <w:rsid w:val="00C502FA"/>
    <w:rsid w:val="00C60CEC"/>
    <w:rsid w:val="00C63B9F"/>
    <w:rsid w:val="00C63F66"/>
    <w:rsid w:val="00C64A28"/>
    <w:rsid w:val="00C65D7E"/>
    <w:rsid w:val="00C67961"/>
    <w:rsid w:val="00C738E0"/>
    <w:rsid w:val="00C7575C"/>
    <w:rsid w:val="00C832A5"/>
    <w:rsid w:val="00C86300"/>
    <w:rsid w:val="00C8751D"/>
    <w:rsid w:val="00C9246E"/>
    <w:rsid w:val="00CA35B3"/>
    <w:rsid w:val="00CB1F61"/>
    <w:rsid w:val="00CC58F9"/>
    <w:rsid w:val="00CD3537"/>
    <w:rsid w:val="00CE74EF"/>
    <w:rsid w:val="00CF3E1A"/>
    <w:rsid w:val="00CF5BB1"/>
    <w:rsid w:val="00CF7750"/>
    <w:rsid w:val="00D05458"/>
    <w:rsid w:val="00D07E5C"/>
    <w:rsid w:val="00D113B7"/>
    <w:rsid w:val="00D44A0B"/>
    <w:rsid w:val="00D46F25"/>
    <w:rsid w:val="00D51EAD"/>
    <w:rsid w:val="00D53FBA"/>
    <w:rsid w:val="00D54C0B"/>
    <w:rsid w:val="00D566E8"/>
    <w:rsid w:val="00D6643D"/>
    <w:rsid w:val="00D7704F"/>
    <w:rsid w:val="00D7705A"/>
    <w:rsid w:val="00D80ED9"/>
    <w:rsid w:val="00D84FBA"/>
    <w:rsid w:val="00D87D8C"/>
    <w:rsid w:val="00D957AC"/>
    <w:rsid w:val="00D9629B"/>
    <w:rsid w:val="00D972CE"/>
    <w:rsid w:val="00DB0313"/>
    <w:rsid w:val="00DB2C5E"/>
    <w:rsid w:val="00DB6144"/>
    <w:rsid w:val="00DB6174"/>
    <w:rsid w:val="00DC1DC7"/>
    <w:rsid w:val="00DC7FB9"/>
    <w:rsid w:val="00DD37A1"/>
    <w:rsid w:val="00DD4C61"/>
    <w:rsid w:val="00DD5D2B"/>
    <w:rsid w:val="00DE25D5"/>
    <w:rsid w:val="00DE442E"/>
    <w:rsid w:val="00DE4C63"/>
    <w:rsid w:val="00DF0ACC"/>
    <w:rsid w:val="00E060A7"/>
    <w:rsid w:val="00E0681A"/>
    <w:rsid w:val="00E11D28"/>
    <w:rsid w:val="00E137D6"/>
    <w:rsid w:val="00E13A52"/>
    <w:rsid w:val="00E21A44"/>
    <w:rsid w:val="00E22642"/>
    <w:rsid w:val="00E24F3F"/>
    <w:rsid w:val="00E3194B"/>
    <w:rsid w:val="00E4159F"/>
    <w:rsid w:val="00E44D1B"/>
    <w:rsid w:val="00E45B92"/>
    <w:rsid w:val="00E55D0E"/>
    <w:rsid w:val="00E60BD9"/>
    <w:rsid w:val="00E648A5"/>
    <w:rsid w:val="00E726A2"/>
    <w:rsid w:val="00E850C2"/>
    <w:rsid w:val="00E9120F"/>
    <w:rsid w:val="00EA4D5D"/>
    <w:rsid w:val="00EA6958"/>
    <w:rsid w:val="00EB2C25"/>
    <w:rsid w:val="00EC14C5"/>
    <w:rsid w:val="00EC3674"/>
    <w:rsid w:val="00EF2626"/>
    <w:rsid w:val="00EF38F0"/>
    <w:rsid w:val="00F031A4"/>
    <w:rsid w:val="00F039C6"/>
    <w:rsid w:val="00F04C55"/>
    <w:rsid w:val="00F22A09"/>
    <w:rsid w:val="00F236DF"/>
    <w:rsid w:val="00F26ACC"/>
    <w:rsid w:val="00F301B6"/>
    <w:rsid w:val="00F6622E"/>
    <w:rsid w:val="00F67861"/>
    <w:rsid w:val="00F70391"/>
    <w:rsid w:val="00F75381"/>
    <w:rsid w:val="00F937C4"/>
    <w:rsid w:val="00F95C19"/>
    <w:rsid w:val="00FA5B28"/>
    <w:rsid w:val="00FA790C"/>
    <w:rsid w:val="00FB0CBF"/>
    <w:rsid w:val="00FB49B8"/>
    <w:rsid w:val="00FB5023"/>
    <w:rsid w:val="00FB5AC7"/>
    <w:rsid w:val="00FC365B"/>
    <w:rsid w:val="00FC4291"/>
    <w:rsid w:val="00FC6CC5"/>
    <w:rsid w:val="00FF1FAB"/>
    <w:rsid w:val="00FF72B9"/>
    <w:rsid w:val="1D34698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14471C"/>
  <w15:docId w15:val="{621F2B6C-68D8-441F-9904-B61A47141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405A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405A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9A00B4"/>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E77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77C2"/>
    <w:rPr>
      <w:rFonts w:ascii="Tahoma" w:hAnsi="Tahoma" w:cs="Tahoma"/>
      <w:sz w:val="16"/>
      <w:szCs w:val="16"/>
    </w:rPr>
  </w:style>
  <w:style w:type="paragraph" w:styleId="FootnoteText">
    <w:name w:val="footnote text"/>
    <w:basedOn w:val="Normal"/>
    <w:link w:val="FootnoteTextChar"/>
    <w:uiPriority w:val="99"/>
    <w:semiHidden/>
    <w:unhideWhenUsed/>
    <w:rsid w:val="001E77C2"/>
    <w:pPr>
      <w:spacing w:after="0" w:line="240" w:lineRule="auto"/>
      <w:jc w:val="both"/>
    </w:pPr>
    <w:rPr>
      <w:rFonts w:ascii="Arial Narrow" w:hAnsi="Arial Narrow"/>
      <w:sz w:val="24"/>
      <w:szCs w:val="24"/>
    </w:rPr>
  </w:style>
  <w:style w:type="character" w:customStyle="1" w:styleId="FootnoteTextChar">
    <w:name w:val="Footnote Text Char"/>
    <w:basedOn w:val="DefaultParagraphFont"/>
    <w:link w:val="FootnoteText"/>
    <w:uiPriority w:val="99"/>
    <w:semiHidden/>
    <w:rsid w:val="001E77C2"/>
    <w:rPr>
      <w:rFonts w:ascii="Arial Narrow" w:hAnsi="Arial Narrow"/>
      <w:sz w:val="24"/>
      <w:szCs w:val="24"/>
    </w:rPr>
  </w:style>
  <w:style w:type="character" w:styleId="FootnoteReference">
    <w:name w:val="footnote reference"/>
    <w:basedOn w:val="DefaultParagraphFont"/>
    <w:uiPriority w:val="99"/>
    <w:semiHidden/>
    <w:unhideWhenUsed/>
    <w:rsid w:val="001E77C2"/>
    <w:rPr>
      <w:vertAlign w:val="superscript"/>
    </w:rPr>
  </w:style>
  <w:style w:type="paragraph" w:styleId="ListParagraph">
    <w:name w:val="List Paragraph"/>
    <w:aliases w:val="Scriptoria bullet points,Colorful List - Accent 11"/>
    <w:basedOn w:val="Normal"/>
    <w:link w:val="ListParagraphChar"/>
    <w:uiPriority w:val="34"/>
    <w:qFormat/>
    <w:rsid w:val="001E77C2"/>
    <w:pPr>
      <w:spacing w:line="360" w:lineRule="auto"/>
      <w:ind w:left="720"/>
      <w:contextualSpacing/>
      <w:jc w:val="both"/>
    </w:pPr>
    <w:rPr>
      <w:rFonts w:ascii="Arial Narrow" w:hAnsi="Arial Narrow"/>
    </w:rPr>
  </w:style>
  <w:style w:type="paragraph" w:styleId="EndnoteText">
    <w:name w:val="endnote text"/>
    <w:basedOn w:val="Normal"/>
    <w:link w:val="EndnoteTextChar"/>
    <w:uiPriority w:val="99"/>
    <w:unhideWhenUsed/>
    <w:rsid w:val="001E77C2"/>
    <w:pPr>
      <w:spacing w:after="0" w:line="240" w:lineRule="auto"/>
    </w:pPr>
    <w:rPr>
      <w:sz w:val="20"/>
      <w:szCs w:val="20"/>
    </w:rPr>
  </w:style>
  <w:style w:type="character" w:customStyle="1" w:styleId="EndnoteTextChar">
    <w:name w:val="Endnote Text Char"/>
    <w:basedOn w:val="DefaultParagraphFont"/>
    <w:link w:val="EndnoteText"/>
    <w:uiPriority w:val="99"/>
    <w:rsid w:val="001E77C2"/>
    <w:rPr>
      <w:sz w:val="20"/>
      <w:szCs w:val="20"/>
    </w:rPr>
  </w:style>
  <w:style w:type="table" w:styleId="TableGrid">
    <w:name w:val="Table Grid"/>
    <w:basedOn w:val="TableNormal"/>
    <w:uiPriority w:val="59"/>
    <w:rsid w:val="00582F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1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11E0"/>
  </w:style>
  <w:style w:type="paragraph" w:styleId="Footer">
    <w:name w:val="footer"/>
    <w:basedOn w:val="Normal"/>
    <w:link w:val="FooterChar"/>
    <w:uiPriority w:val="99"/>
    <w:unhideWhenUsed/>
    <w:rsid w:val="00821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11E0"/>
  </w:style>
  <w:style w:type="character" w:styleId="CommentReference">
    <w:name w:val="annotation reference"/>
    <w:basedOn w:val="DefaultParagraphFont"/>
    <w:uiPriority w:val="99"/>
    <w:semiHidden/>
    <w:unhideWhenUsed/>
    <w:rsid w:val="00EC14C5"/>
    <w:rPr>
      <w:sz w:val="16"/>
      <w:szCs w:val="16"/>
    </w:rPr>
  </w:style>
  <w:style w:type="paragraph" w:styleId="CommentText">
    <w:name w:val="annotation text"/>
    <w:basedOn w:val="Normal"/>
    <w:link w:val="CommentTextChar"/>
    <w:uiPriority w:val="99"/>
    <w:semiHidden/>
    <w:unhideWhenUsed/>
    <w:rsid w:val="00EC14C5"/>
    <w:pPr>
      <w:spacing w:line="240" w:lineRule="auto"/>
    </w:pPr>
    <w:rPr>
      <w:sz w:val="20"/>
      <w:szCs w:val="20"/>
    </w:rPr>
  </w:style>
  <w:style w:type="character" w:customStyle="1" w:styleId="CommentTextChar">
    <w:name w:val="Comment Text Char"/>
    <w:basedOn w:val="DefaultParagraphFont"/>
    <w:link w:val="CommentText"/>
    <w:uiPriority w:val="99"/>
    <w:semiHidden/>
    <w:rsid w:val="00EC14C5"/>
    <w:rPr>
      <w:sz w:val="20"/>
      <w:szCs w:val="20"/>
    </w:rPr>
  </w:style>
  <w:style w:type="paragraph" w:styleId="CommentSubject">
    <w:name w:val="annotation subject"/>
    <w:basedOn w:val="CommentText"/>
    <w:next w:val="CommentText"/>
    <w:link w:val="CommentSubjectChar"/>
    <w:uiPriority w:val="99"/>
    <w:semiHidden/>
    <w:unhideWhenUsed/>
    <w:rsid w:val="00EC14C5"/>
    <w:rPr>
      <w:b/>
      <w:bCs/>
    </w:rPr>
  </w:style>
  <w:style w:type="character" w:customStyle="1" w:styleId="CommentSubjectChar">
    <w:name w:val="Comment Subject Char"/>
    <w:basedOn w:val="CommentTextChar"/>
    <w:link w:val="CommentSubject"/>
    <w:uiPriority w:val="99"/>
    <w:semiHidden/>
    <w:rsid w:val="00EC14C5"/>
    <w:rPr>
      <w:b/>
      <w:bCs/>
      <w:sz w:val="20"/>
      <w:szCs w:val="20"/>
    </w:rPr>
  </w:style>
  <w:style w:type="character" w:customStyle="1" w:styleId="Heading1Char">
    <w:name w:val="Heading 1 Char"/>
    <w:basedOn w:val="DefaultParagraphFont"/>
    <w:link w:val="Heading1"/>
    <w:uiPriority w:val="9"/>
    <w:rsid w:val="005405AB"/>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5405AB"/>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9A00B4"/>
    <w:rPr>
      <w:rFonts w:asciiTheme="majorHAnsi" w:eastAsiaTheme="majorEastAsia" w:hAnsiTheme="majorHAnsi" w:cstheme="majorBidi"/>
      <w:color w:val="243F60" w:themeColor="accent1" w:themeShade="7F"/>
      <w:sz w:val="24"/>
      <w:szCs w:val="24"/>
    </w:rPr>
  </w:style>
  <w:style w:type="character" w:styleId="Hyperlink">
    <w:name w:val="Hyperlink"/>
    <w:basedOn w:val="DefaultParagraphFont"/>
    <w:uiPriority w:val="99"/>
    <w:unhideWhenUsed/>
    <w:rsid w:val="00520699"/>
    <w:rPr>
      <w:color w:val="0000FF" w:themeColor="hyperlink"/>
      <w:u w:val="single"/>
    </w:rPr>
  </w:style>
  <w:style w:type="paragraph" w:styleId="NormalWeb">
    <w:name w:val="Normal (Web)"/>
    <w:basedOn w:val="Normal"/>
    <w:uiPriority w:val="99"/>
    <w:unhideWhenUsed/>
    <w:rsid w:val="00DE442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DE442E"/>
    <w:pPr>
      <w:autoSpaceDE w:val="0"/>
      <w:autoSpaceDN w:val="0"/>
      <w:adjustRightInd w:val="0"/>
      <w:spacing w:after="0" w:line="240" w:lineRule="auto"/>
    </w:pPr>
    <w:rPr>
      <w:rFonts w:ascii="Calibri" w:hAnsi="Calibri" w:cs="Calibri"/>
      <w:color w:val="000000"/>
      <w:sz w:val="24"/>
      <w:szCs w:val="24"/>
      <w:lang w:val="en-GB"/>
    </w:rPr>
  </w:style>
  <w:style w:type="character" w:styleId="UnresolvedMention">
    <w:name w:val="Unresolved Mention"/>
    <w:basedOn w:val="DefaultParagraphFont"/>
    <w:uiPriority w:val="99"/>
    <w:semiHidden/>
    <w:unhideWhenUsed/>
    <w:rsid w:val="00E45B92"/>
    <w:rPr>
      <w:color w:val="605E5C"/>
      <w:shd w:val="clear" w:color="auto" w:fill="E1DFDD"/>
    </w:rPr>
  </w:style>
  <w:style w:type="character" w:customStyle="1" w:styleId="ListParagraphChar">
    <w:name w:val="List Paragraph Char"/>
    <w:aliases w:val="Scriptoria bullet points Char,Colorful List - Accent 11 Char"/>
    <w:basedOn w:val="DefaultParagraphFont"/>
    <w:link w:val="ListParagraph"/>
    <w:uiPriority w:val="34"/>
    <w:locked/>
    <w:rsid w:val="00020CE2"/>
    <w:rPr>
      <w:rFonts w:ascii="Arial Narrow" w:hAnsi="Arial Narrow"/>
    </w:rPr>
  </w:style>
  <w:style w:type="paragraph" w:styleId="Revision">
    <w:name w:val="Revision"/>
    <w:hidden/>
    <w:uiPriority w:val="99"/>
    <w:semiHidden/>
    <w:rsid w:val="000157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87476">
      <w:bodyDiv w:val="1"/>
      <w:marLeft w:val="0"/>
      <w:marRight w:val="0"/>
      <w:marTop w:val="0"/>
      <w:marBottom w:val="0"/>
      <w:divBdr>
        <w:top w:val="none" w:sz="0" w:space="0" w:color="auto"/>
        <w:left w:val="none" w:sz="0" w:space="0" w:color="auto"/>
        <w:bottom w:val="none" w:sz="0" w:space="0" w:color="auto"/>
        <w:right w:val="none" w:sz="0" w:space="0" w:color="auto"/>
      </w:divBdr>
    </w:div>
    <w:div w:id="804348639">
      <w:bodyDiv w:val="1"/>
      <w:marLeft w:val="0"/>
      <w:marRight w:val="0"/>
      <w:marTop w:val="0"/>
      <w:marBottom w:val="0"/>
      <w:divBdr>
        <w:top w:val="none" w:sz="0" w:space="0" w:color="auto"/>
        <w:left w:val="none" w:sz="0" w:space="0" w:color="auto"/>
        <w:bottom w:val="none" w:sz="0" w:space="0" w:color="auto"/>
        <w:right w:val="none" w:sz="0" w:space="0" w:color="auto"/>
      </w:divBdr>
    </w:div>
    <w:div w:id="1122462399">
      <w:bodyDiv w:val="1"/>
      <w:marLeft w:val="0"/>
      <w:marRight w:val="0"/>
      <w:marTop w:val="0"/>
      <w:marBottom w:val="0"/>
      <w:divBdr>
        <w:top w:val="none" w:sz="0" w:space="0" w:color="auto"/>
        <w:left w:val="none" w:sz="0" w:space="0" w:color="auto"/>
        <w:bottom w:val="none" w:sz="0" w:space="0" w:color="auto"/>
        <w:right w:val="none" w:sz="0" w:space="0" w:color="auto"/>
      </w:divBdr>
    </w:div>
    <w:div w:id="1308705309">
      <w:bodyDiv w:val="1"/>
      <w:marLeft w:val="0"/>
      <w:marRight w:val="0"/>
      <w:marTop w:val="0"/>
      <w:marBottom w:val="0"/>
      <w:divBdr>
        <w:top w:val="none" w:sz="0" w:space="0" w:color="auto"/>
        <w:left w:val="none" w:sz="0" w:space="0" w:color="auto"/>
        <w:bottom w:val="none" w:sz="0" w:space="0" w:color="auto"/>
        <w:right w:val="none" w:sz="0" w:space="0" w:color="auto"/>
      </w:divBdr>
      <w:divsChild>
        <w:div w:id="996692010">
          <w:marLeft w:val="619"/>
          <w:marRight w:val="0"/>
          <w:marTop w:val="110"/>
          <w:marBottom w:val="0"/>
          <w:divBdr>
            <w:top w:val="none" w:sz="0" w:space="0" w:color="auto"/>
            <w:left w:val="none" w:sz="0" w:space="0" w:color="auto"/>
            <w:bottom w:val="none" w:sz="0" w:space="0" w:color="auto"/>
            <w:right w:val="none" w:sz="0" w:space="0" w:color="auto"/>
          </w:divBdr>
        </w:div>
        <w:div w:id="1735659496">
          <w:marLeft w:val="619"/>
          <w:marRight w:val="0"/>
          <w:marTop w:val="110"/>
          <w:marBottom w:val="0"/>
          <w:divBdr>
            <w:top w:val="none" w:sz="0" w:space="0" w:color="auto"/>
            <w:left w:val="none" w:sz="0" w:space="0" w:color="auto"/>
            <w:bottom w:val="none" w:sz="0" w:space="0" w:color="auto"/>
            <w:right w:val="none" w:sz="0" w:space="0" w:color="auto"/>
          </w:divBdr>
        </w:div>
      </w:divsChild>
    </w:div>
    <w:div w:id="1663005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clintonhealth.app.box.com/s/w28v3c9rdh49l0fwljtw61ko21w14fqh"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clintonhealth.app.box.com/s/dfr43vh9s6z85h7tacgwir28i98dvpus" TargetMode="Externa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rvprocurementworkinggroup.org/?l=en." TargetMode="External"/><Relationship Id="rId20" Type="http://schemas.openxmlformats.org/officeDocument/2006/relationships/hyperlink" Target="https://www.arvprocurementworkinggroup.org/?l=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ccessdata.fda.gov/drugsatfda_docs/appletter/2021/214566Orig1s000TA_ltr.pdf" TargetMode="External"/><Relationship Id="rId2" Type="http://schemas.openxmlformats.org/officeDocument/2006/relationships/hyperlink" Target="https://www.accessdata.fda.gov/drugsatfda_docs/appletter/2020/214521Orig1s000TAltr.pdf" TargetMode="External"/><Relationship Id="rId1" Type="http://schemas.openxmlformats.org/officeDocument/2006/relationships/hyperlink" Target="https://apps.who.int/iris/rest/bitstreams/1357089/retrie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52507AC6793F6143936FC0AE9F769271" ma:contentTypeVersion="0" ma:contentTypeDescription="Create a new document." ma:contentTypeScope="" ma:versionID="25c14243ab043c649cfb7a2634b2a64d">
  <xsd:schema xmlns:xsd="http://www.w3.org/2001/XMLSchema" xmlns:xs="http://www.w3.org/2001/XMLSchema" xmlns:p="http://schemas.microsoft.com/office/2006/metadata/properties" targetNamespace="http://schemas.microsoft.com/office/2006/metadata/properties" ma:root="true" ma:fieldsID="d4973f25da26469b2f833959a1a23e5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38C7FA-C901-4173-BBE5-CAD7FFC4DE1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BD5725-9FBC-4472-AE2E-9B41BE367CEA}">
  <ds:schemaRefs>
    <ds:schemaRef ds:uri="http://schemas.openxmlformats.org/officeDocument/2006/bibliography"/>
  </ds:schemaRefs>
</ds:datastoreItem>
</file>

<file path=customXml/itemProps3.xml><?xml version="1.0" encoding="utf-8"?>
<ds:datastoreItem xmlns:ds="http://schemas.openxmlformats.org/officeDocument/2006/customXml" ds:itemID="{2EEF6418-EE90-4EFA-A3A0-EFC6203583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18CFB40-9981-446B-819A-1343C196C6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3047</Words>
  <Characters>17371</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Swati Kalra</dc:creator>
  <cp:keywords/>
  <dc:description/>
  <cp:lastModifiedBy>Anant Mishra</cp:lastModifiedBy>
  <cp:revision>4</cp:revision>
  <cp:lastPrinted>2018-03-22T03:59:00Z</cp:lastPrinted>
  <dcterms:created xsi:type="dcterms:W3CDTF">2021-09-22T18:59:00Z</dcterms:created>
  <dcterms:modified xsi:type="dcterms:W3CDTF">2021-10-14T05:03:00Z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0x01010052507AC6793F6143936FC0AE9F769271</vt:lpwstr>
  </property>
</Properties>
</file>