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0B1D" w14:textId="77777777" w:rsidR="00510475" w:rsidRDefault="00510475" w:rsidP="004F71CF">
      <w:pPr>
        <w:rPr>
          <w:rFonts w:ascii="Avenir" w:eastAsia="Avenir" w:hAnsi="Avenir" w:cs="Avenir"/>
          <w:b/>
          <w:bCs/>
          <w:color w:val="EDB02A"/>
          <w:sz w:val="36"/>
          <w:szCs w:val="36"/>
          <w:lang w:val="en-GB"/>
        </w:rPr>
      </w:pPr>
    </w:p>
    <w:p w14:paraId="34BE931F" w14:textId="13411D98" w:rsidR="00D66420" w:rsidRPr="002D4FA1" w:rsidRDefault="002D4FA1" w:rsidP="002D4FA1">
      <w:pPr>
        <w:jc w:val="center"/>
        <w:rPr>
          <w:rFonts w:ascii="Avenir" w:eastAsia="Avenir" w:hAnsi="Avenir" w:cs="Avenir"/>
          <w:b/>
          <w:bCs/>
          <w:i/>
          <w:color w:val="EDB02A"/>
          <w:sz w:val="36"/>
          <w:szCs w:val="36"/>
          <w:lang w:val="en-GB"/>
        </w:rPr>
      </w:pPr>
      <w:r w:rsidRPr="002D4FA1">
        <w:rPr>
          <w:rFonts w:ascii="Avenir" w:eastAsia="Avenir" w:hAnsi="Avenir" w:cs="Avenir"/>
          <w:b/>
          <w:bCs/>
          <w:color w:val="EDB02A"/>
          <w:sz w:val="36"/>
          <w:szCs w:val="36"/>
          <w:lang w:val="en-GB"/>
        </w:rPr>
        <w:t>TOOL 1: SECURITY INCIDENT LOG</w:t>
      </w:r>
    </w:p>
    <w:tbl>
      <w:tblPr>
        <w:tblStyle w:val="a"/>
        <w:tblW w:w="9356" w:type="dxa"/>
        <w:tblInd w:w="-5" w:type="dxa"/>
        <w:tblBorders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43"/>
        <w:gridCol w:w="3544"/>
        <w:gridCol w:w="3402"/>
      </w:tblGrid>
      <w:tr w:rsidR="00E80FA0" w:rsidRPr="00E80FA0" w14:paraId="38B86E20" w14:textId="77777777" w:rsidTr="004F71CF">
        <w:tc>
          <w:tcPr>
            <w:tcW w:w="567" w:type="dxa"/>
            <w:tcBorders>
              <w:bottom w:val="nil"/>
            </w:tcBorders>
            <w:shd w:val="clear" w:color="auto" w:fill="982E2A"/>
          </w:tcPr>
          <w:p w14:paraId="2126BD27" w14:textId="77777777" w:rsidR="00D66420" w:rsidRPr="00E80FA0" w:rsidRDefault="00D66420">
            <w:pPr>
              <w:rPr>
                <w:rFonts w:ascii="Avenir" w:eastAsia="Avenir" w:hAnsi="Avenir" w:cs="Avenir"/>
                <w:b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982E2A"/>
          </w:tcPr>
          <w:p w14:paraId="66334799" w14:textId="77777777" w:rsidR="00D66420" w:rsidRPr="00E80FA0" w:rsidRDefault="00000000">
            <w:pPr>
              <w:rPr>
                <w:rFonts w:ascii="Avenir" w:eastAsia="Avenir" w:hAnsi="Avenir" w:cs="Avenir"/>
                <w:b/>
                <w:color w:val="FFFFFF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b/>
                <w:color w:val="FFFFFF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982E2A"/>
          </w:tcPr>
          <w:p w14:paraId="584EAEE5" w14:textId="77777777" w:rsidR="00D66420" w:rsidRPr="00E80FA0" w:rsidRDefault="00000000">
            <w:pPr>
              <w:rPr>
                <w:rFonts w:ascii="Avenir" w:eastAsia="Avenir" w:hAnsi="Avenir" w:cs="Avenir"/>
                <w:b/>
                <w:color w:val="FFFFFF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b/>
                <w:color w:val="FFFFFF"/>
                <w:sz w:val="24"/>
                <w:szCs w:val="24"/>
                <w:lang w:val="en-GB"/>
              </w:rPr>
              <w:t>How to Answer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982E2A"/>
          </w:tcPr>
          <w:p w14:paraId="5D9859C3" w14:textId="77777777" w:rsidR="00D66420" w:rsidRPr="00E80FA0" w:rsidRDefault="00000000">
            <w:pPr>
              <w:rPr>
                <w:rFonts w:ascii="Avenir" w:eastAsia="Avenir" w:hAnsi="Avenir" w:cs="Avenir"/>
                <w:b/>
                <w:color w:val="AD2513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b/>
                <w:color w:val="FFFFFF" w:themeColor="background1"/>
                <w:sz w:val="24"/>
                <w:szCs w:val="24"/>
                <w:lang w:val="en-GB"/>
              </w:rPr>
              <w:t>Response</w:t>
            </w:r>
          </w:p>
        </w:tc>
      </w:tr>
      <w:tr w:rsidR="004F71CF" w:rsidRPr="00E80FA0" w14:paraId="44D6330B" w14:textId="77777777" w:rsidTr="004F71CF">
        <w:tc>
          <w:tcPr>
            <w:tcW w:w="567" w:type="dxa"/>
            <w:tcBorders>
              <w:bottom w:val="single" w:sz="4" w:space="0" w:color="AD2513"/>
            </w:tcBorders>
            <w:shd w:val="clear" w:color="auto" w:fill="F6E9E6"/>
          </w:tcPr>
          <w:p w14:paraId="166584C3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D2513"/>
            </w:tcBorders>
            <w:shd w:val="clear" w:color="auto" w:fill="F6E9E6"/>
          </w:tcPr>
          <w:p w14:paraId="4FA2FD16" w14:textId="7A4C9DA1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Incident #</w:t>
            </w:r>
          </w:p>
        </w:tc>
        <w:tc>
          <w:tcPr>
            <w:tcW w:w="3544" w:type="dxa"/>
            <w:tcBorders>
              <w:bottom w:val="single" w:sz="4" w:space="0" w:color="AD2513"/>
            </w:tcBorders>
            <w:shd w:val="clear" w:color="auto" w:fill="F6E9E6"/>
          </w:tcPr>
          <w:p w14:paraId="3AD42370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Begin with number 1 and continue; the numbering allows security incidents to be linked to one another (see question #14)</w:t>
            </w:r>
          </w:p>
        </w:tc>
        <w:tc>
          <w:tcPr>
            <w:tcW w:w="3402" w:type="dxa"/>
            <w:tcBorders>
              <w:bottom w:val="single" w:sz="4" w:space="0" w:color="AD2513"/>
            </w:tcBorders>
            <w:shd w:val="clear" w:color="auto" w:fill="F6E9E6"/>
          </w:tcPr>
          <w:p w14:paraId="77604F7C" w14:textId="44ECC4AD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473FE1BB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68711585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55537811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Date of incident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E31FB77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Type as YEAR-MONTH-DAY (e.g., 2019-02-17 for February 17, 2019) to organise this security event log by date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5E88F585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3D9EB23D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8C3AAC8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57BB16C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Time of incident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5522BF6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Specific time of day (if known), or more general (morning, afternoon, evening, night)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6C6D7141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34F8528D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C28B018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FF84BB5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Perpetrator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437D2111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 xml:space="preserve">If known and safe to list, or use a more general term such as “law enforcement officer” 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26A5980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1A72A006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583B6E7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190C80EE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Affected organisation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FBAE91B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Name of HIV program implementing partner (i.e., community-based organisation’s name)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108D5E98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66E117A2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A71BF80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8CC699E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 xml:space="preserve">Target 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14FC9D41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Specific person or type of staff, physical space (e.g., name of a specific hot spot), website, database, etc. Do not name individuals here unless you have their permission to do so.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A298BB3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4B1208CA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6454983D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1C6135B4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Where incident occurred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5855F030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Physical address, online, by phone, etc.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3EC4B4F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314A233C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DE8073A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1969E762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Believed motivation of aggressor (if known)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EDE4DA2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For example: intimidation, to stop programming, to deflect attention from other local issues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154E7B8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62275AB2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43680C8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9F71850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Description of security incident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576C983B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For example: Facebook posts on project page said “[paste specific message here”]; or peer educators were arrested without charge when distributing condoms to a group of MSM during a mobile HIV testing event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C18E573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02A73F94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1ACF4A7D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10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1D695F80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Programmatic consequences of security incident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6E816CEA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For example: Implementing partner will conduct only online outreach until physical outreach is considered safe to conduct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63C4EC8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4EE9CD60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653EBA0D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11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27461C9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Description of actions taken to respond to security incident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5D83D6D" w14:textId="77777777" w:rsidR="00D66420" w:rsidRPr="00E80FA0" w:rsidRDefault="00000000">
            <w:pPr>
              <w:spacing w:line="259" w:lineRule="auto"/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For example: On YEAR-MONTH-DAY, implementing partner targeted in Facebook post decided that it is not safe to conduct outreach activities for a two-week period and implementing partner filed a complaint with the police.</w:t>
            </w:r>
          </w:p>
          <w:p w14:paraId="43B95D88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 xml:space="preserve">Please include dates of actions taken (and continue to update this row as actions are taken). 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9460991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20DF5768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A78C393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12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05F3C73B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Which other security incidents is this related to? (</w:t>
            </w:r>
            <w:proofErr w:type="gramStart"/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if</w:t>
            </w:r>
            <w:proofErr w:type="gramEnd"/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 xml:space="preserve"> any)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742EDA67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Note whether this incident was related to other security incidents by listing other security incident numbers here.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447D958F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  <w:tr w:rsidR="004F71CF" w:rsidRPr="00E80FA0" w14:paraId="43C3ADB8" w14:textId="77777777" w:rsidTr="004F71CF">
        <w:tc>
          <w:tcPr>
            <w:tcW w:w="567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3328FD0F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13</w:t>
            </w:r>
          </w:p>
        </w:tc>
        <w:tc>
          <w:tcPr>
            <w:tcW w:w="1843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4680FED7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>Incident resolution (if any)</w:t>
            </w:r>
          </w:p>
        </w:tc>
        <w:tc>
          <w:tcPr>
            <w:tcW w:w="3544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5DBD6881" w14:textId="77777777" w:rsidR="00D66420" w:rsidRPr="00E80FA0" w:rsidRDefault="00000000">
            <w:pPr>
              <w:rPr>
                <w:rFonts w:ascii="Avenir" w:eastAsia="Avenir" w:hAnsi="Avenir" w:cs="Avenir"/>
                <w:sz w:val="24"/>
                <w:szCs w:val="24"/>
                <w:lang w:val="en-GB"/>
              </w:rPr>
            </w:pPr>
            <w:r w:rsidRPr="00E80FA0">
              <w:rPr>
                <w:rFonts w:ascii="Avenir" w:eastAsia="Avenir" w:hAnsi="Avenir" w:cs="Avenir"/>
                <w:sz w:val="24"/>
                <w:szCs w:val="24"/>
                <w:lang w:val="en-GB"/>
              </w:rPr>
              <w:t xml:space="preserve">For example: On YEAR-MONTH-DAY, peer educators were released from state custody and provided with mental health support. </w:t>
            </w:r>
          </w:p>
        </w:tc>
        <w:tc>
          <w:tcPr>
            <w:tcW w:w="3402" w:type="dxa"/>
            <w:tcBorders>
              <w:top w:val="single" w:sz="4" w:space="0" w:color="AD2513"/>
              <w:bottom w:val="single" w:sz="4" w:space="0" w:color="AD2513"/>
            </w:tcBorders>
            <w:shd w:val="clear" w:color="auto" w:fill="F6E9E6"/>
          </w:tcPr>
          <w:p w14:paraId="465EF401" w14:textId="77777777" w:rsidR="00D66420" w:rsidRPr="00E80FA0" w:rsidRDefault="00D66420">
            <w:pPr>
              <w:rPr>
                <w:rFonts w:ascii="Avenir" w:eastAsia="Avenir" w:hAnsi="Avenir" w:cs="Avenir"/>
                <w:color w:val="AD2513"/>
                <w:sz w:val="24"/>
                <w:szCs w:val="24"/>
                <w:lang w:val="en-GB"/>
              </w:rPr>
            </w:pPr>
          </w:p>
        </w:tc>
      </w:tr>
    </w:tbl>
    <w:p w14:paraId="74692103" w14:textId="77777777" w:rsidR="00D66420" w:rsidRPr="00E80FA0" w:rsidRDefault="00D66420">
      <w:pPr>
        <w:rPr>
          <w:rFonts w:ascii="Avenir" w:eastAsia="Avenir" w:hAnsi="Avenir" w:cs="Avenir"/>
          <w:sz w:val="24"/>
          <w:szCs w:val="24"/>
          <w:lang w:val="en-GB"/>
        </w:rPr>
      </w:pPr>
    </w:p>
    <w:sectPr w:rsidR="00D66420" w:rsidRPr="00E80FA0" w:rsidSect="00E80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C336" w14:textId="77777777" w:rsidR="00D643C9" w:rsidRDefault="00D643C9">
      <w:pPr>
        <w:spacing w:after="0" w:line="240" w:lineRule="auto"/>
      </w:pPr>
      <w:r>
        <w:separator/>
      </w:r>
    </w:p>
  </w:endnote>
  <w:endnote w:type="continuationSeparator" w:id="0">
    <w:p w14:paraId="5D4680CF" w14:textId="77777777" w:rsidR="00D643C9" w:rsidRDefault="00D6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97C6" w14:textId="77777777" w:rsidR="00D66420" w:rsidRDefault="00D66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459" w14:textId="77777777" w:rsidR="00D664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3A7D">
      <w:rPr>
        <w:noProof/>
        <w:color w:val="000000"/>
      </w:rPr>
      <w:t>2</w:t>
    </w:r>
    <w:r>
      <w:rPr>
        <w:color w:val="000000"/>
      </w:rPr>
      <w:fldChar w:fldCharType="end"/>
    </w:r>
  </w:p>
  <w:p w14:paraId="6F41872C" w14:textId="77777777" w:rsidR="00D66420" w:rsidRDefault="00D66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6D26" w14:textId="77777777" w:rsidR="00D66420" w:rsidRDefault="00D66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BA27" w14:textId="77777777" w:rsidR="00D643C9" w:rsidRDefault="00D643C9">
      <w:pPr>
        <w:spacing w:after="0" w:line="240" w:lineRule="auto"/>
      </w:pPr>
      <w:r>
        <w:separator/>
      </w:r>
    </w:p>
  </w:footnote>
  <w:footnote w:type="continuationSeparator" w:id="0">
    <w:p w14:paraId="26CD38F0" w14:textId="77777777" w:rsidR="00D643C9" w:rsidRDefault="00D6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0EB4" w14:textId="77777777" w:rsidR="00D66420" w:rsidRDefault="00D66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A732" w14:textId="77777777" w:rsidR="00D664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3BF8C9" wp14:editId="49C42B88">
          <wp:simplePos x="0" y="0"/>
          <wp:positionH relativeFrom="column">
            <wp:posOffset>7410450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4EFC6A" w14:textId="77777777" w:rsidR="00D66420" w:rsidRDefault="00D66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/>
        <w:sz w:val="28"/>
        <w:szCs w:val="28"/>
      </w:rPr>
    </w:pPr>
  </w:p>
  <w:p w14:paraId="08361A6B" w14:textId="77777777" w:rsidR="00D66420" w:rsidRDefault="00D664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D7D8" w14:textId="358440BA" w:rsidR="00F7359E" w:rsidRPr="002D4FA1" w:rsidRDefault="00000000" w:rsidP="002D4FA1">
    <w:pP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Cs/>
        <w:color w:val="AD2513"/>
        <w:sz w:val="24"/>
        <w:szCs w:val="24"/>
        <w:lang w:val="en-GB"/>
      </w:rPr>
    </w:pPr>
    <w:r w:rsidRPr="002D4FA1">
      <w:rPr>
        <w:rFonts w:ascii="Avenir" w:eastAsia="Avenir" w:hAnsi="Avenir" w:cs="Avenir"/>
        <w:bCs/>
        <w:color w:val="AD2513"/>
        <w:sz w:val="24"/>
        <w:szCs w:val="24"/>
        <w:lang w:val="en-GB"/>
      </w:rPr>
      <w:t>Security Toolkit</w:t>
    </w:r>
  </w:p>
  <w:p w14:paraId="4AF4DBCF" w14:textId="068B2234" w:rsidR="00D66420" w:rsidRPr="002D4FA1" w:rsidRDefault="00000000" w:rsidP="002D4FA1">
    <w:pPr>
      <w:tabs>
        <w:tab w:val="center" w:pos="4513"/>
        <w:tab w:val="right" w:pos="9026"/>
      </w:tabs>
      <w:spacing w:after="0" w:line="240" w:lineRule="auto"/>
      <w:rPr>
        <w:bCs/>
        <w:color w:val="AD2513"/>
        <w:sz w:val="24"/>
        <w:szCs w:val="24"/>
        <w:lang w:val="en-GB"/>
      </w:rPr>
    </w:pPr>
    <w:r w:rsidRPr="002D4FA1">
      <w:rPr>
        <w:rFonts w:ascii="Avenir" w:eastAsia="Avenir" w:hAnsi="Avenir" w:cs="Avenir"/>
        <w:bCs/>
        <w:color w:val="AD2513"/>
        <w:sz w:val="24"/>
        <w:szCs w:val="24"/>
        <w:lang w:val="en-GB"/>
      </w:rPr>
      <w:t xml:space="preserve">Protecting Implementers and Improving </w:t>
    </w:r>
    <w:r w:rsidR="00AB3E81" w:rsidRPr="002D4FA1">
      <w:rPr>
        <w:rFonts w:ascii="Avenir" w:eastAsia="Avenir" w:hAnsi="Avenir" w:cs="Avenir"/>
        <w:bCs/>
        <w:color w:val="AD2513"/>
        <w:sz w:val="24"/>
        <w:szCs w:val="24"/>
        <w:lang w:val="en-GB"/>
      </w:rPr>
      <w:t xml:space="preserve">Programme </w:t>
    </w:r>
    <w:r w:rsidRPr="002D4FA1">
      <w:rPr>
        <w:rFonts w:ascii="Avenir" w:eastAsia="Avenir" w:hAnsi="Avenir" w:cs="Avenir"/>
        <w:bCs/>
        <w:color w:val="AD2513"/>
        <w:sz w:val="24"/>
        <w:szCs w:val="24"/>
        <w:lang w:val="en-GB"/>
      </w:rPr>
      <w:t>Outcomes</w:t>
    </w:r>
    <w:r w:rsidRPr="002D4FA1">
      <w:rPr>
        <w:bCs/>
        <w:noProof/>
        <w:color w:val="AD2513"/>
        <w:sz w:val="24"/>
        <w:szCs w:val="24"/>
        <w:lang w:val="en-GB"/>
      </w:rPr>
      <w:drawing>
        <wp:anchor distT="114300" distB="114300" distL="114300" distR="114300" simplePos="0" relativeHeight="251659264" behindDoc="0" locked="0" layoutInCell="1" hidden="0" allowOverlap="1" wp14:anchorId="05C6EB8F" wp14:editId="3B4776AF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D4FA1">
      <w:rPr>
        <w:bCs/>
        <w:noProof/>
        <w:color w:val="AD2513"/>
        <w:sz w:val="24"/>
        <w:szCs w:val="24"/>
        <w:lang w:val="en-GB"/>
      </w:rPr>
      <w:drawing>
        <wp:anchor distT="114300" distB="114300" distL="114300" distR="114300" simplePos="0" relativeHeight="251660288" behindDoc="0" locked="0" layoutInCell="1" hidden="0" allowOverlap="1" wp14:anchorId="3FA0F815" wp14:editId="1D5A15AC">
          <wp:simplePos x="0" y="0"/>
          <wp:positionH relativeFrom="column">
            <wp:posOffset>7458075</wp:posOffset>
          </wp:positionH>
          <wp:positionV relativeFrom="paragraph">
            <wp:posOffset>-342899</wp:posOffset>
          </wp:positionV>
          <wp:extent cx="1564298" cy="8001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29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A171DC" w14:textId="77777777" w:rsidR="00D66420" w:rsidRDefault="00D66420">
    <w:pPr>
      <w:tabs>
        <w:tab w:val="center" w:pos="4513"/>
        <w:tab w:val="right" w:pos="9026"/>
      </w:tabs>
      <w:spacing w:after="0" w:line="240" w:lineRule="auto"/>
      <w:rPr>
        <w:rFonts w:ascii="Avenir" w:eastAsia="Avenir" w:hAnsi="Avenir" w:cs="Avenir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0"/>
    <w:rsid w:val="00235A7D"/>
    <w:rsid w:val="002D4FA1"/>
    <w:rsid w:val="00373DB3"/>
    <w:rsid w:val="004F71CF"/>
    <w:rsid w:val="00510475"/>
    <w:rsid w:val="00AB3E81"/>
    <w:rsid w:val="00D643C9"/>
    <w:rsid w:val="00D66420"/>
    <w:rsid w:val="00E80FA0"/>
    <w:rsid w:val="00EF3A7D"/>
    <w:rsid w:val="00F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A4B7"/>
  <w15:docId w15:val="{C79D03A1-841F-F547-8F0A-B9B06BF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95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195"/>
    <w:pPr>
      <w:keepNext/>
      <w:keepLines/>
      <w:spacing w:before="360" w:after="120" w:line="320" w:lineRule="exact"/>
      <w:outlineLvl w:val="0"/>
    </w:pPr>
    <w:rPr>
      <w:rFonts w:ascii="Arial" w:eastAsiaTheme="majorEastAsia" w:hAnsi="Arial" w:cstheme="majorBidi"/>
      <w:b/>
      <w:color w:val="446186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46195"/>
    <w:rPr>
      <w:rFonts w:ascii="Arial" w:eastAsiaTheme="majorEastAsia" w:hAnsi="Arial" w:cstheme="majorBidi"/>
      <w:b/>
      <w:color w:val="446186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DD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4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72"/>
    <w:rPr>
      <w:lang w:val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oK8eS9I35sd1bn4pzOZAu18d6Q==">AMUW2mXiBlkV5VXFp8h4v7H8DhuWO4FNCAWaTWLbXmtRwo2qHzv8Kz0CDZ2CPQn6y55/Z+ziKE2s8vHdEmycebgDpzqE4bQ9sTlMTZWxuLgCeTJgQMQdriE=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F4935C-9F9C-3147-B862-3AE90946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Dayton</dc:creator>
  <cp:lastModifiedBy>Alexandre, Estelle</cp:lastModifiedBy>
  <cp:revision>7</cp:revision>
  <dcterms:created xsi:type="dcterms:W3CDTF">2022-10-13T10:24:00Z</dcterms:created>
  <dcterms:modified xsi:type="dcterms:W3CDTF">2022-12-10T10:42:00Z</dcterms:modified>
</cp:coreProperties>
</file>