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962853" w:rsidR="00311F1D" w:rsidP="00370DC1" w:rsidRDefault="00311F1D" w14:paraId="64E52624" w14:textId="13124ECB">
      <w:pPr>
        <w:jc w:val="both"/>
        <w:rPr>
          <w:rFonts w:cstheme="minorHAnsi"/>
        </w:rPr>
      </w:pPr>
    </w:p>
    <w:p w:rsidRPr="00962853" w:rsidR="00301396" w:rsidP="00370DC1" w:rsidRDefault="00301396" w14:paraId="30E2F079" w14:textId="77777777">
      <w:pPr>
        <w:jc w:val="both"/>
        <w:rPr>
          <w:rFonts w:eastAsia="Times New Roman" w:cstheme="minorHAnsi"/>
          <w:b/>
          <w:sz w:val="56"/>
          <w:szCs w:val="56"/>
        </w:rPr>
      </w:pPr>
    </w:p>
    <w:p w:rsidRPr="00962853" w:rsidR="00301396" w:rsidP="00370DC1" w:rsidRDefault="00301396" w14:paraId="0B944837" w14:textId="77777777">
      <w:pPr>
        <w:jc w:val="both"/>
        <w:rPr>
          <w:rFonts w:eastAsia="Times New Roman" w:cstheme="minorHAnsi"/>
          <w:b/>
          <w:sz w:val="56"/>
          <w:szCs w:val="56"/>
        </w:rPr>
      </w:pPr>
    </w:p>
    <w:p w:rsidRPr="00962853" w:rsidR="001E77C2" w:rsidP="00370DC1" w:rsidRDefault="001E77C2" w14:paraId="5034136F" w14:textId="06C872FC">
      <w:pPr>
        <w:jc w:val="center"/>
        <w:rPr>
          <w:rFonts w:eastAsia="Times New Roman" w:cstheme="minorHAnsi"/>
          <w:b/>
          <w:sz w:val="56"/>
          <w:szCs w:val="56"/>
        </w:rPr>
      </w:pPr>
      <w:r w:rsidRPr="00962853">
        <w:rPr>
          <w:rFonts w:eastAsia="Times New Roman" w:cstheme="minorHAnsi"/>
          <w:b/>
          <w:sz w:val="56"/>
          <w:szCs w:val="56"/>
        </w:rPr>
        <w:t xml:space="preserve">Introduction </w:t>
      </w:r>
      <w:r w:rsidRPr="00962853" w:rsidR="00B217DD">
        <w:rPr>
          <w:rFonts w:eastAsia="Times New Roman" w:cstheme="minorHAnsi"/>
          <w:b/>
          <w:sz w:val="56"/>
          <w:szCs w:val="56"/>
        </w:rPr>
        <w:t xml:space="preserve">du </w:t>
      </w:r>
      <w:r w:rsidR="00446011">
        <w:rPr>
          <w:rFonts w:eastAsia="Times New Roman" w:cstheme="minorHAnsi"/>
          <w:b/>
          <w:sz w:val="56"/>
          <w:szCs w:val="56"/>
        </w:rPr>
        <w:t xml:space="preserve">Dolutegravir </w:t>
      </w:r>
      <w:proofErr w:type="spellStart"/>
      <w:r w:rsidRPr="00962853" w:rsidR="00624CE1">
        <w:rPr>
          <w:rFonts w:eastAsia="Times New Roman" w:cstheme="minorHAnsi"/>
          <w:b/>
          <w:sz w:val="56"/>
          <w:szCs w:val="56"/>
        </w:rPr>
        <w:t>pédiatrique</w:t>
      </w:r>
      <w:proofErr w:type="spellEnd"/>
      <w:r w:rsidRPr="00962853" w:rsidR="00624CE1">
        <w:rPr>
          <w:rFonts w:eastAsia="Times New Roman" w:cstheme="minorHAnsi"/>
          <w:b/>
          <w:sz w:val="56"/>
          <w:szCs w:val="56"/>
        </w:rPr>
        <w:t xml:space="preserve"> (DTG) </w:t>
      </w:r>
      <w:proofErr w:type="spellStart"/>
      <w:r w:rsidRPr="00962853" w:rsidR="00624CE1">
        <w:rPr>
          <w:rFonts w:eastAsia="Times New Roman" w:cstheme="minorHAnsi"/>
          <w:b/>
          <w:sz w:val="56"/>
          <w:szCs w:val="56"/>
        </w:rPr>
        <w:t>en</w:t>
      </w:r>
      <w:proofErr w:type="spellEnd"/>
      <w:r w:rsidRPr="00962853" w:rsidR="00624CE1">
        <w:rPr>
          <w:rFonts w:eastAsia="Times New Roman" w:cstheme="minorHAnsi"/>
          <w:b/>
          <w:sz w:val="56"/>
          <w:szCs w:val="56"/>
        </w:rPr>
        <w:t xml:space="preserve"> </w:t>
      </w:r>
      <w:proofErr w:type="spellStart"/>
      <w:r w:rsidRPr="00962853" w:rsidR="00624CE1">
        <w:rPr>
          <w:rFonts w:eastAsia="Times New Roman" w:cstheme="minorHAnsi"/>
          <w:b/>
          <w:sz w:val="56"/>
          <w:szCs w:val="56"/>
        </w:rPr>
        <w:t>comprimés</w:t>
      </w:r>
      <w:proofErr w:type="spellEnd"/>
      <w:r w:rsidRPr="00962853" w:rsidR="00624CE1">
        <w:rPr>
          <w:rFonts w:eastAsia="Times New Roman" w:cstheme="minorHAnsi"/>
          <w:b/>
          <w:sz w:val="56"/>
          <w:szCs w:val="56"/>
        </w:rPr>
        <w:t xml:space="preserve"> </w:t>
      </w:r>
      <w:proofErr w:type="spellStart"/>
      <w:r w:rsidRPr="00962853" w:rsidR="00624CE1">
        <w:rPr>
          <w:rFonts w:eastAsia="Times New Roman" w:cstheme="minorHAnsi"/>
          <w:b/>
          <w:sz w:val="56"/>
          <w:szCs w:val="56"/>
        </w:rPr>
        <w:t>sécables</w:t>
      </w:r>
      <w:proofErr w:type="spellEnd"/>
      <w:r w:rsidRPr="00962853" w:rsidR="00624CE1">
        <w:rPr>
          <w:rFonts w:eastAsia="Times New Roman" w:cstheme="minorHAnsi"/>
          <w:b/>
          <w:sz w:val="56"/>
          <w:szCs w:val="56"/>
        </w:rPr>
        <w:t xml:space="preserve"> et </w:t>
      </w:r>
      <w:proofErr w:type="spellStart"/>
      <w:r w:rsidRPr="00962853" w:rsidR="00624CE1">
        <w:rPr>
          <w:rFonts w:eastAsia="Times New Roman" w:cstheme="minorHAnsi"/>
          <w:b/>
          <w:sz w:val="56"/>
          <w:szCs w:val="56"/>
        </w:rPr>
        <w:t>dispersibles</w:t>
      </w:r>
      <w:proofErr w:type="spellEnd"/>
      <w:r w:rsidRPr="00962853" w:rsidR="00624CE1">
        <w:rPr>
          <w:rFonts w:eastAsia="Times New Roman" w:cstheme="minorHAnsi"/>
          <w:b/>
          <w:sz w:val="56"/>
          <w:szCs w:val="56"/>
        </w:rPr>
        <w:t xml:space="preserve"> de 10 mg (pDTG) </w:t>
      </w:r>
      <w:r w:rsidRPr="00962853">
        <w:rPr>
          <w:rFonts w:eastAsia="Times New Roman" w:cstheme="minorHAnsi"/>
          <w:b/>
          <w:sz w:val="56"/>
          <w:szCs w:val="56"/>
        </w:rPr>
        <w:t xml:space="preserve">dans le </w:t>
      </w:r>
      <w:r w:rsidRPr="00AE261C" w:rsidR="00624CE1">
        <w:rPr>
          <w:rFonts w:eastAsia="Times New Roman" w:cstheme="minorHAnsi"/>
          <w:b/>
          <w:i/>
          <w:iCs/>
          <w:sz w:val="56"/>
          <w:szCs w:val="56"/>
          <w:highlight w:val="yellow"/>
        </w:rPr>
        <w:t>pays</w:t>
      </w:r>
      <w:commentRangeStart w:id="0"/>
      <w:r w:rsidRPr="00AE261C" w:rsidR="00624CE1">
        <w:rPr>
          <w:rFonts w:eastAsia="Times New Roman" w:cstheme="minorHAnsi"/>
          <w:b/>
          <w:i/>
          <w:iCs/>
          <w:sz w:val="56"/>
          <w:szCs w:val="56"/>
          <w:highlight w:val="yellow"/>
        </w:rPr>
        <w:t xml:space="preserve"> X </w:t>
      </w:r>
      <w:commentRangeEnd w:id="0"/>
      <w:r w:rsidR="00372227">
        <w:rPr>
          <w:rStyle w:val="CommentReference"/>
        </w:rPr>
        <w:commentReference w:id="0"/>
      </w:r>
    </w:p>
    <w:p w:rsidRPr="00AE261C" w:rsidR="001E77C2" w:rsidP="00370DC1" w:rsidRDefault="001E77C2" w14:paraId="78DA6C87" w14:textId="0B278CC3">
      <w:pPr>
        <w:jc w:val="center"/>
        <w:rPr>
          <w:rFonts w:eastAsia="Times New Roman" w:cstheme="minorHAnsi"/>
          <w:bCs/>
          <w:sz w:val="56"/>
          <w:szCs w:val="56"/>
        </w:rPr>
      </w:pPr>
      <w:r w:rsidRPr="00AE261C">
        <w:rPr>
          <w:rFonts w:eastAsia="Times New Roman" w:cstheme="minorHAnsi"/>
          <w:bCs/>
          <w:sz w:val="56"/>
          <w:szCs w:val="56"/>
        </w:rPr>
        <w:t xml:space="preserve">Plan de transition </w:t>
      </w:r>
      <w:r w:rsidRPr="00AE261C" w:rsidR="00624CE1">
        <w:rPr>
          <w:rFonts w:eastAsia="Times New Roman" w:cstheme="minorHAnsi"/>
          <w:bCs/>
          <w:sz w:val="56"/>
          <w:szCs w:val="56"/>
        </w:rPr>
        <w:t>2021</w:t>
      </w:r>
    </w:p>
    <w:p w:rsidRPr="00962853" w:rsidR="001E77C2" w:rsidP="00370DC1" w:rsidRDefault="008211E0" w14:paraId="6E8263C3" w14:textId="77777777">
      <w:pPr>
        <w:tabs>
          <w:tab w:val="left" w:pos="5940"/>
        </w:tabs>
        <w:jc w:val="both"/>
        <w:rPr>
          <w:rFonts w:eastAsia="Times New Roman" w:cstheme="minorHAnsi"/>
          <w:b/>
        </w:rPr>
      </w:pPr>
      <w:r w:rsidRPr="00962853">
        <w:rPr>
          <w:rFonts w:eastAsia="Times New Roman" w:cstheme="minorHAnsi"/>
          <w:b/>
        </w:rPr>
        <w:tab/>
      </w:r>
    </w:p>
    <w:p w:rsidRPr="00962853" w:rsidR="001E77C2" w:rsidP="00370DC1" w:rsidRDefault="001E77C2" w14:paraId="1B3A1F43" w14:textId="77777777">
      <w:pPr>
        <w:jc w:val="both"/>
        <w:rPr>
          <w:rFonts w:eastAsia="Times New Roman" w:cstheme="minorHAnsi"/>
          <w:b/>
        </w:rPr>
      </w:pPr>
    </w:p>
    <w:p w:rsidR="00DC7FB9" w:rsidP="00370DC1" w:rsidRDefault="00B91AFA" w14:paraId="1FCE04B7" w14:textId="03FCCC9D">
      <w:pPr>
        <w:jc w:val="center"/>
        <w:rPr>
          <w:rFonts w:eastAsia="Times New Roman" w:cstheme="minorHAnsi"/>
          <w:i/>
          <w:sz w:val="44"/>
          <w:szCs w:val="44"/>
        </w:rPr>
      </w:pPr>
      <w:proofErr w:type="spellStart"/>
      <w:r>
        <w:rPr>
          <w:rFonts w:eastAsia="Times New Roman" w:cstheme="minorHAnsi"/>
          <w:i/>
          <w:sz w:val="44"/>
          <w:szCs w:val="44"/>
        </w:rPr>
        <w:t>Février</w:t>
      </w:r>
      <w:proofErr w:type="spellEnd"/>
      <w:r>
        <w:rPr>
          <w:rFonts w:eastAsia="Times New Roman" w:cstheme="minorHAnsi"/>
          <w:i/>
          <w:sz w:val="44"/>
          <w:szCs w:val="44"/>
        </w:rPr>
        <w:t xml:space="preserve"> </w:t>
      </w:r>
      <w:r w:rsidRPr="00D7705A" w:rsidR="00624CE1">
        <w:rPr>
          <w:rFonts w:eastAsia="Times New Roman" w:cstheme="minorHAnsi"/>
          <w:i/>
          <w:sz w:val="44"/>
          <w:szCs w:val="44"/>
        </w:rPr>
        <w:t>2021</w:t>
      </w:r>
    </w:p>
    <w:p w:rsidRPr="00D7705A" w:rsidR="00B91AFA" w:rsidP="00370DC1" w:rsidRDefault="00B91AFA" w14:paraId="51EBE4E5" w14:textId="77777777">
      <w:pPr>
        <w:jc w:val="center"/>
        <w:rPr>
          <w:rFonts w:eastAsia="Times New Roman" w:cstheme="minorHAnsi"/>
          <w:i/>
          <w:sz w:val="44"/>
          <w:szCs w:val="44"/>
        </w:rPr>
      </w:pPr>
    </w:p>
    <w:commentRangeStart w:id="1"/>
    <w:p w:rsidRPr="00962853" w:rsidR="001E77C2" w:rsidP="00370DC1" w:rsidRDefault="00AE261C" w14:paraId="3D979CE0" w14:textId="56D21DC6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CD1E21" wp14:editId="6F7A5D25">
                <wp:simplePos x="0" y="0"/>
                <wp:positionH relativeFrom="column">
                  <wp:posOffset>-256</wp:posOffset>
                </wp:positionH>
                <wp:positionV relativeFrom="paragraph">
                  <wp:posOffset>105410</wp:posOffset>
                </wp:positionV>
                <wp:extent cx="5940000" cy="1935678"/>
                <wp:effectExtent l="0" t="0" r="2286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000" cy="1935678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6C25F551">
              <v:rect id="Rectangle 1" style="position:absolute;margin-left:0;margin-top:8.3pt;width:467.7pt;height:152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ed="f" strokecolor="black [3213]" strokeweight="1pt" w14:anchorId="29F1EA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"/>
            </w:pict>
          </mc:Fallback>
        </mc:AlternateContent>
      </w:r>
      <w:commentRangeEnd w:id="1"/>
      <w:r>
        <w:rPr>
          <w:rStyle w:val="CommentReference"/>
        </w:rPr>
        <w:commentReference w:id="1"/>
      </w:r>
      <w:r w:rsidRPr="00962853" w:rsidR="00DC7FB9">
        <w:rPr>
          <w:rFonts w:eastAsia="Times New Roman" w:cstheme="minorHAnsi"/>
          <w:i/>
        </w:rPr>
        <w:br w:type="page"/>
      </w:r>
    </w:p>
    <w:p w:rsidRPr="00962853" w:rsidR="001E77C2" w:rsidP="00370DC1" w:rsidRDefault="001E77C2" w14:paraId="7C6A0048" w14:textId="11A39C9E">
      <w:pPr>
        <w:pStyle w:val="Heading1"/>
        <w:jc w:val="both"/>
        <w:rPr>
          <w:rFonts w:asciiTheme="minorHAnsi" w:hAnsiTheme="minorHAnsi" w:cstheme="minorHAnsi"/>
          <w:sz w:val="28"/>
          <w:szCs w:val="28"/>
        </w:rPr>
      </w:pPr>
      <w:r w:rsidRPr="00962853">
        <w:rPr>
          <w:rFonts w:asciiTheme="minorHAnsi" w:hAnsiTheme="minorHAnsi" w:cstheme="minorHAnsi"/>
          <w:sz w:val="28"/>
          <w:szCs w:val="28"/>
        </w:rPr>
        <w:lastRenderedPageBreak/>
        <w:t xml:space="preserve">Introduction </w:t>
      </w:r>
      <w:r w:rsidRPr="00962853" w:rsidR="005405AB">
        <w:rPr>
          <w:rFonts w:asciiTheme="minorHAnsi" w:hAnsiTheme="minorHAnsi" w:cstheme="minorHAnsi"/>
          <w:sz w:val="28"/>
          <w:szCs w:val="28"/>
        </w:rPr>
        <w:t xml:space="preserve">et </w:t>
      </w:r>
      <w:proofErr w:type="spellStart"/>
      <w:r w:rsidRPr="00962853" w:rsidR="005405AB">
        <w:rPr>
          <w:rFonts w:asciiTheme="minorHAnsi" w:hAnsiTheme="minorHAnsi" w:cstheme="minorHAnsi"/>
          <w:sz w:val="28"/>
          <w:szCs w:val="28"/>
        </w:rPr>
        <w:t>contexte</w:t>
      </w:r>
      <w:proofErr w:type="spellEnd"/>
    </w:p>
    <w:p w:rsidRPr="00C53AE0" w:rsidR="00520699" w:rsidP="00370DC1" w:rsidRDefault="00520699" w14:paraId="60370E20" w14:textId="2ECD3597">
      <w:pPr>
        <w:jc w:val="both"/>
        <w:rPr>
          <w:lang w:val="en-GB"/>
        </w:rPr>
      </w:pPr>
      <w:r w:rsidRPr="00C53AE0">
        <w:rPr>
          <w:lang w:val="en-GB"/>
        </w:rPr>
        <w:t>Depuis</w:t>
      </w:r>
      <w:r w:rsidRPr="00C53AE0">
        <w:rPr>
          <w:lang w:val="en-GB"/>
        </w:rPr>
        <w:t xml:space="preserve"> 2013, les directives de </w:t>
      </w:r>
      <w:r w:rsidRPr="00C53AE0">
        <w:rPr>
          <w:lang w:val="en-GB"/>
        </w:rPr>
        <w:t>l'OMS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recommandent</w:t>
      </w:r>
      <w:r w:rsidRPr="00C53AE0">
        <w:rPr>
          <w:lang w:val="en-GB"/>
        </w:rPr>
        <w:t xml:space="preserve"> des </w:t>
      </w:r>
      <w:r w:rsidRPr="00C53AE0">
        <w:rPr>
          <w:lang w:val="en-GB"/>
        </w:rPr>
        <w:t>schémas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thérapeutiques</w:t>
      </w:r>
      <w:r w:rsidRPr="00C53AE0">
        <w:rPr>
          <w:lang w:val="en-GB"/>
        </w:rPr>
        <w:t xml:space="preserve"> à base de LPV/r pour </w:t>
      </w:r>
      <w:r w:rsidRPr="00C53AE0">
        <w:rPr>
          <w:lang w:val="en-GB"/>
        </w:rPr>
        <w:t>toutes</w:t>
      </w:r>
      <w:r w:rsidRPr="00C53AE0">
        <w:rPr>
          <w:lang w:val="en-GB"/>
        </w:rPr>
        <w:t xml:space="preserve"> les </w:t>
      </w:r>
      <w:r w:rsidRPr="00C53AE0">
        <w:rPr>
          <w:lang w:val="en-GB"/>
        </w:rPr>
        <w:t>personnes</w:t>
      </w:r>
      <w:r w:rsidRPr="00C53AE0">
        <w:rPr>
          <w:lang w:val="en-GB"/>
        </w:rPr>
        <w:t xml:space="preserve"> vivant avec le VIH de </w:t>
      </w:r>
      <w:r w:rsidRPr="00C53AE0">
        <w:rPr>
          <w:lang w:val="en-GB"/>
        </w:rPr>
        <w:t>moins</w:t>
      </w:r>
      <w:r w:rsidRPr="00C53AE0">
        <w:rPr>
          <w:lang w:val="en-GB"/>
        </w:rPr>
        <w:t xml:space="preserve"> de 3 </w:t>
      </w:r>
      <w:r w:rsidRPr="00C53AE0">
        <w:rPr>
          <w:lang w:val="en-GB"/>
        </w:rPr>
        <w:t>ans</w:t>
      </w:r>
      <w:r w:rsidRPr="00C53AE0">
        <w:rPr>
          <w:lang w:val="en-GB"/>
        </w:rPr>
        <w:t xml:space="preserve"> ; </w:t>
      </w:r>
      <w:r w:rsidRPr="00C53AE0">
        <w:rPr>
          <w:lang w:val="en-GB"/>
        </w:rPr>
        <w:t>toutefois</w:t>
      </w:r>
      <w:r w:rsidRPr="00C53AE0">
        <w:rPr>
          <w:lang w:val="en-GB"/>
        </w:rPr>
        <w:t xml:space="preserve">, la </w:t>
      </w:r>
      <w:r w:rsidRPr="00C53AE0">
        <w:rPr>
          <w:lang w:val="en-GB"/>
        </w:rPr>
        <w:t>disponibilité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limitée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d'une</w:t>
      </w:r>
      <w:r w:rsidRPr="00C53AE0">
        <w:rPr>
          <w:lang w:val="en-GB"/>
        </w:rPr>
        <w:t xml:space="preserve"> formulation </w:t>
      </w:r>
      <w:r w:rsidRPr="00C53AE0">
        <w:rPr>
          <w:lang w:val="en-GB"/>
        </w:rPr>
        <w:t>adaptée</w:t>
      </w:r>
      <w:r w:rsidRPr="00C53AE0">
        <w:rPr>
          <w:lang w:val="en-GB"/>
        </w:rPr>
        <w:t xml:space="preserve"> à </w:t>
      </w:r>
      <w:r w:rsidRPr="00C53AE0">
        <w:rPr>
          <w:lang w:val="en-GB"/>
        </w:rPr>
        <w:t>cette</w:t>
      </w:r>
      <w:r w:rsidRPr="00C53AE0">
        <w:rPr>
          <w:lang w:val="en-GB"/>
        </w:rPr>
        <w:t xml:space="preserve"> tranche </w:t>
      </w:r>
      <w:r w:rsidRPr="00C53AE0">
        <w:rPr>
          <w:lang w:val="en-GB"/>
        </w:rPr>
        <w:t>d'âge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reste</w:t>
      </w:r>
      <w:r w:rsidRPr="00C53AE0">
        <w:rPr>
          <w:lang w:val="en-GB"/>
        </w:rPr>
        <w:t xml:space="preserve"> un obstacle à la mise </w:t>
      </w:r>
      <w:r w:rsidRPr="00C53AE0">
        <w:rPr>
          <w:lang w:val="en-GB"/>
        </w:rPr>
        <w:t>en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œuvre</w:t>
      </w:r>
      <w:r w:rsidRPr="00C53AE0">
        <w:rPr>
          <w:lang w:val="en-GB"/>
        </w:rPr>
        <w:t xml:space="preserve">. Les </w:t>
      </w:r>
      <w:r w:rsidRPr="00C53AE0">
        <w:rPr>
          <w:lang w:val="en-GB"/>
        </w:rPr>
        <w:t>lignes</w:t>
      </w:r>
      <w:r w:rsidRPr="00C53AE0">
        <w:rPr>
          <w:lang w:val="en-GB"/>
        </w:rPr>
        <w:t xml:space="preserve"> directrices de </w:t>
      </w:r>
      <w:r w:rsidRPr="00C53AE0">
        <w:rPr>
          <w:lang w:val="en-GB"/>
        </w:rPr>
        <w:t>l'OMS</w:t>
      </w:r>
      <w:r w:rsidRPr="00C53AE0">
        <w:rPr>
          <w:lang w:val="en-GB"/>
        </w:rPr>
        <w:t xml:space="preserve"> sur la </w:t>
      </w:r>
      <w:r w:rsidRPr="00C53AE0">
        <w:rPr>
          <w:lang w:val="en-GB"/>
        </w:rPr>
        <w:t>thérapie</w:t>
      </w:r>
      <w:r w:rsidRPr="00C53AE0">
        <w:rPr>
          <w:lang w:val="en-GB"/>
        </w:rPr>
        <w:t xml:space="preserve"> </w:t>
      </w:r>
      <w:r w:rsidR="00A735C3">
        <w:rPr>
          <w:lang w:val="en-GB"/>
        </w:rPr>
        <w:t>antirétrovirale</w:t>
      </w:r>
      <w:r w:rsidR="00A735C3">
        <w:rPr>
          <w:lang w:val="en-GB"/>
        </w:rPr>
        <w:t xml:space="preserve"> de </w:t>
      </w:r>
      <w:r w:rsidRPr="00C53AE0">
        <w:rPr>
          <w:lang w:val="en-GB"/>
        </w:rPr>
        <w:t xml:space="preserve">2018 et la note </w:t>
      </w:r>
      <w:r w:rsidRPr="00C53AE0">
        <w:rPr>
          <w:lang w:val="en-GB"/>
        </w:rPr>
        <w:t>d'orientation</w:t>
      </w:r>
      <w:r w:rsidRPr="00C53AE0">
        <w:rPr>
          <w:lang w:val="en-GB"/>
        </w:rPr>
        <w:t xml:space="preserve"> de </w:t>
      </w:r>
      <w:r w:rsidRPr="00C53AE0">
        <w:rPr>
          <w:lang w:val="en-GB"/>
        </w:rPr>
        <w:t>juillet</w:t>
      </w:r>
      <w:r w:rsidRPr="00C53AE0">
        <w:rPr>
          <w:lang w:val="en-GB"/>
        </w:rPr>
        <w:t xml:space="preserve"> 2020 de </w:t>
      </w:r>
      <w:r w:rsidRPr="00C53AE0">
        <w:rPr>
          <w:lang w:val="en-GB"/>
        </w:rPr>
        <w:t>l'OMS</w:t>
      </w:r>
      <w:r w:rsidRPr="00C53AE0">
        <w:rPr>
          <w:lang w:val="en-GB"/>
        </w:rPr>
        <w:t xml:space="preserve"> </w:t>
      </w:r>
      <w:r w:rsidRPr="00B744D0">
        <w:rPr>
          <w:lang w:val="en-GB"/>
        </w:rPr>
        <w:t>recommandent</w:t>
      </w:r>
      <w:r w:rsidRPr="00B744D0">
        <w:rPr>
          <w:lang w:val="en-GB"/>
        </w:rPr>
        <w:t xml:space="preserve"> </w:t>
      </w:r>
      <w:r w:rsidRPr="00C53AE0">
        <w:rPr>
          <w:lang w:val="en-GB"/>
        </w:rPr>
        <w:t>désormais</w:t>
      </w:r>
      <w:r w:rsidRPr="00C53AE0">
        <w:rPr>
          <w:lang w:val="en-GB"/>
        </w:rPr>
        <w:t xml:space="preserve"> les </w:t>
      </w:r>
      <w:r w:rsidRPr="00C53AE0">
        <w:rPr>
          <w:lang w:val="en-GB"/>
        </w:rPr>
        <w:t>schémas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thérapeutiques</w:t>
      </w:r>
      <w:r w:rsidRPr="00C53AE0">
        <w:rPr>
          <w:lang w:val="en-GB"/>
        </w:rPr>
        <w:t xml:space="preserve"> à base de </w:t>
      </w:r>
      <w:r w:rsidR="00A735C3">
        <w:rPr>
          <w:lang w:val="en-GB"/>
        </w:rPr>
        <w:t xml:space="preserve">dolutegravir </w:t>
      </w:r>
      <w:r w:rsidR="00BF28C7">
        <w:rPr>
          <w:lang w:val="en-GB"/>
        </w:rPr>
        <w:t>(</w:t>
      </w:r>
      <w:r w:rsidRPr="00B744D0">
        <w:rPr>
          <w:lang w:val="en-GB"/>
        </w:rPr>
        <w:t>DTG</w:t>
      </w:r>
      <w:r w:rsidR="00BF28C7">
        <w:rPr>
          <w:lang w:val="en-GB"/>
        </w:rPr>
        <w:t xml:space="preserve">) </w:t>
      </w:r>
      <w:r w:rsidRPr="00B744D0">
        <w:rPr>
          <w:lang w:val="en-GB"/>
        </w:rPr>
        <w:t>comme</w:t>
      </w:r>
      <w:r w:rsidRPr="00B744D0">
        <w:rPr>
          <w:lang w:val="en-GB"/>
        </w:rPr>
        <w:t xml:space="preserve"> le </w:t>
      </w:r>
      <w:r w:rsidRPr="00B744D0">
        <w:rPr>
          <w:lang w:val="en-GB"/>
        </w:rPr>
        <w:t>schéma</w:t>
      </w:r>
      <w:r w:rsidRPr="00B744D0">
        <w:rPr>
          <w:lang w:val="en-GB"/>
        </w:rPr>
        <w:t xml:space="preserve"> </w:t>
      </w:r>
      <w:r w:rsidRPr="00B744D0">
        <w:rPr>
          <w:lang w:val="en-GB"/>
        </w:rPr>
        <w:t>thérapeutique</w:t>
      </w:r>
      <w:r w:rsidRPr="00B744D0">
        <w:rPr>
          <w:lang w:val="en-GB"/>
        </w:rPr>
        <w:t xml:space="preserve"> </w:t>
      </w:r>
      <w:r w:rsidRPr="00B744D0">
        <w:rPr>
          <w:lang w:val="en-GB"/>
        </w:rPr>
        <w:t>préféré</w:t>
      </w:r>
      <w:r w:rsidRPr="00B744D0">
        <w:rPr>
          <w:lang w:val="en-GB"/>
        </w:rPr>
        <w:t xml:space="preserve"> de 1L pour </w:t>
      </w:r>
      <w:r w:rsidRPr="00B744D0">
        <w:rPr>
          <w:lang w:val="en-GB"/>
        </w:rPr>
        <w:t>tous</w:t>
      </w:r>
      <w:r w:rsidRPr="00B744D0">
        <w:rPr>
          <w:lang w:val="en-GB"/>
        </w:rPr>
        <w:t xml:space="preserve"> les enfants </w:t>
      </w:r>
      <w:r w:rsidRPr="00B744D0">
        <w:rPr>
          <w:lang w:val="en-GB"/>
        </w:rPr>
        <w:t>âgés</w:t>
      </w:r>
      <w:r w:rsidRPr="00B744D0">
        <w:rPr>
          <w:lang w:val="en-GB"/>
        </w:rPr>
        <w:t xml:space="preserve"> de 4 </w:t>
      </w:r>
      <w:r w:rsidRPr="00B744D0">
        <w:rPr>
          <w:lang w:val="en-GB"/>
        </w:rPr>
        <w:t>semaines</w:t>
      </w:r>
      <w:r w:rsidRPr="00B744D0">
        <w:rPr>
          <w:lang w:val="en-GB"/>
        </w:rPr>
        <w:t xml:space="preserve"> et plus</w:t>
      </w:r>
      <w:r w:rsidRPr="007F56C2">
        <w:rPr>
          <w:lang w:val="en-GB"/>
        </w:rPr>
        <w:t>.</w:t>
      </w:r>
      <w:r w:rsidRPr="00C53AE0">
        <w:rPr>
          <w:lang w:val="en-GB"/>
        </w:rPr>
        <w:t xml:space="preserve"> </w:t>
      </w:r>
      <w:r w:rsidRPr="00BF1A70">
        <w:rPr>
          <w:rStyle w:val="FootnoteReference"/>
          <w:lang w:val="en-GB"/>
        </w:rPr>
        <w:footnoteReference w:id="1"/>
      </w:r>
      <w:r w:rsidRPr="00C53AE0">
        <w:rPr>
          <w:lang w:val="en-GB"/>
        </w:rPr>
        <w:t xml:space="preserve">Des études </w:t>
      </w:r>
      <w:r w:rsidRPr="00C53AE0">
        <w:rPr>
          <w:lang w:val="en-GB"/>
        </w:rPr>
        <w:t>menées</w:t>
      </w:r>
      <w:r w:rsidRPr="00C53AE0">
        <w:rPr>
          <w:lang w:val="en-GB"/>
        </w:rPr>
        <w:t xml:space="preserve"> chez les </w:t>
      </w:r>
      <w:r w:rsidRPr="00C53AE0">
        <w:rPr>
          <w:lang w:val="en-GB"/>
        </w:rPr>
        <w:t>adultes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ont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montré</w:t>
      </w:r>
      <w:r w:rsidRPr="00C53AE0">
        <w:rPr>
          <w:lang w:val="en-GB"/>
        </w:rPr>
        <w:t xml:space="preserve"> que le DTG </w:t>
      </w:r>
      <w:r w:rsidRPr="00C53AE0">
        <w:rPr>
          <w:lang w:val="en-GB"/>
        </w:rPr>
        <w:t>permettait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d'obtenir</w:t>
      </w:r>
      <w:r w:rsidRPr="00C53AE0">
        <w:rPr>
          <w:lang w:val="en-GB"/>
        </w:rPr>
        <w:t xml:space="preserve"> des </w:t>
      </w:r>
      <w:r w:rsidRPr="00C53AE0">
        <w:rPr>
          <w:lang w:val="en-GB"/>
        </w:rPr>
        <w:t>taux</w:t>
      </w:r>
      <w:r w:rsidRPr="00C53AE0">
        <w:rPr>
          <w:lang w:val="en-GB"/>
        </w:rPr>
        <w:t xml:space="preserve"> de suppression </w:t>
      </w:r>
      <w:r w:rsidRPr="00C53AE0">
        <w:rPr>
          <w:lang w:val="en-GB"/>
        </w:rPr>
        <w:t>virale</w:t>
      </w:r>
      <w:r w:rsidRPr="00C53AE0">
        <w:rPr>
          <w:lang w:val="en-GB"/>
        </w:rPr>
        <w:t xml:space="preserve"> plus </w:t>
      </w:r>
      <w:r w:rsidRPr="00C53AE0">
        <w:rPr>
          <w:lang w:val="en-GB"/>
        </w:rPr>
        <w:t>élevés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lorsqu'il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était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utilisé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en</w:t>
      </w:r>
      <w:r w:rsidRPr="00C53AE0">
        <w:rPr>
          <w:lang w:val="en-GB"/>
        </w:rPr>
        <w:t xml:space="preserve"> 1L et </w:t>
      </w:r>
      <w:r w:rsidRPr="00C53AE0">
        <w:rPr>
          <w:lang w:val="en-GB"/>
        </w:rPr>
        <w:t>en</w:t>
      </w:r>
      <w:r w:rsidRPr="00C53AE0">
        <w:rPr>
          <w:lang w:val="en-GB"/>
        </w:rPr>
        <w:t xml:space="preserve"> 2L par rapport aux </w:t>
      </w:r>
      <w:r w:rsidRPr="00C53AE0">
        <w:rPr>
          <w:lang w:val="en-GB"/>
        </w:rPr>
        <w:t>inhibiteurs</w:t>
      </w:r>
      <w:r w:rsidRPr="00C53AE0">
        <w:rPr>
          <w:lang w:val="en-GB"/>
        </w:rPr>
        <w:t xml:space="preserve"> de la </w:t>
      </w:r>
      <w:r w:rsidRPr="00C53AE0">
        <w:rPr>
          <w:lang w:val="en-GB"/>
        </w:rPr>
        <w:t>protéase</w:t>
      </w:r>
      <w:r w:rsidRPr="00C53AE0">
        <w:rPr>
          <w:lang w:val="en-GB"/>
        </w:rPr>
        <w:t xml:space="preserve"> (IP). </w:t>
      </w:r>
      <w:r w:rsidRPr="00B744D0">
        <w:rPr>
          <w:lang w:val="en-GB"/>
        </w:rPr>
        <w:t xml:space="preserve">La </w:t>
      </w:r>
      <w:r w:rsidRPr="00B744D0">
        <w:rPr>
          <w:lang w:val="en-GB"/>
        </w:rPr>
        <w:t>disponibilité</w:t>
      </w:r>
      <w:r w:rsidRPr="00B744D0">
        <w:rPr>
          <w:lang w:val="en-GB"/>
        </w:rPr>
        <w:t xml:space="preserve"> </w:t>
      </w:r>
      <w:r w:rsidRPr="00B744D0">
        <w:rPr>
          <w:lang w:val="en-GB"/>
        </w:rPr>
        <w:t>d'une</w:t>
      </w:r>
      <w:r w:rsidRPr="00B744D0">
        <w:rPr>
          <w:lang w:val="en-GB"/>
        </w:rPr>
        <w:t xml:space="preserve"> formulation dispersible </w:t>
      </w:r>
      <w:r w:rsidRPr="00B744D0">
        <w:rPr>
          <w:lang w:val="en-GB"/>
        </w:rPr>
        <w:t>permet</w:t>
      </w:r>
      <w:r w:rsidRPr="00B744D0">
        <w:rPr>
          <w:lang w:val="en-GB"/>
        </w:rPr>
        <w:t xml:space="preserve"> </w:t>
      </w:r>
      <w:r w:rsidRPr="00B744D0">
        <w:rPr>
          <w:lang w:val="en-GB"/>
        </w:rPr>
        <w:t>désormais</w:t>
      </w:r>
      <w:r w:rsidRPr="00B744D0">
        <w:rPr>
          <w:lang w:val="en-GB"/>
        </w:rPr>
        <w:t xml:space="preserve"> aux </w:t>
      </w:r>
      <w:r w:rsidRPr="00B744D0">
        <w:rPr>
          <w:lang w:val="en-GB"/>
        </w:rPr>
        <w:t>jeunes</w:t>
      </w:r>
      <w:r w:rsidRPr="00B744D0">
        <w:rPr>
          <w:lang w:val="en-GB"/>
        </w:rPr>
        <w:t xml:space="preserve"> enfants </w:t>
      </w:r>
      <w:r w:rsidRPr="00B744D0">
        <w:rPr>
          <w:lang w:val="en-GB"/>
        </w:rPr>
        <w:t>d'avoir</w:t>
      </w:r>
      <w:r w:rsidRPr="00B744D0">
        <w:rPr>
          <w:lang w:val="en-GB"/>
        </w:rPr>
        <w:t xml:space="preserve"> </w:t>
      </w:r>
      <w:r w:rsidRPr="00B744D0">
        <w:rPr>
          <w:lang w:val="en-GB"/>
        </w:rPr>
        <w:t>accès</w:t>
      </w:r>
      <w:r w:rsidRPr="00B744D0">
        <w:rPr>
          <w:lang w:val="en-GB"/>
        </w:rPr>
        <w:t xml:space="preserve"> à </w:t>
      </w:r>
      <w:r w:rsidRPr="00B744D0">
        <w:rPr>
          <w:lang w:val="en-GB"/>
        </w:rPr>
        <w:t>ce</w:t>
      </w:r>
      <w:r w:rsidRPr="00B744D0">
        <w:rPr>
          <w:lang w:val="en-GB"/>
        </w:rPr>
        <w:t xml:space="preserve"> puissant </w:t>
      </w:r>
      <w:r w:rsidRPr="00B744D0">
        <w:rPr>
          <w:lang w:val="en-GB"/>
        </w:rPr>
        <w:t>médicament</w:t>
      </w:r>
      <w:r w:rsidRPr="00B744D0">
        <w:rPr>
          <w:lang w:val="en-GB"/>
        </w:rPr>
        <w:t xml:space="preserve"> dans </w:t>
      </w:r>
      <w:r w:rsidRPr="00B744D0">
        <w:rPr>
          <w:lang w:val="en-GB"/>
        </w:rPr>
        <w:t>une</w:t>
      </w:r>
      <w:r w:rsidRPr="00B744D0">
        <w:rPr>
          <w:lang w:val="en-GB"/>
        </w:rPr>
        <w:t xml:space="preserve"> formulation facile à prendre</w:t>
      </w:r>
      <w:r w:rsidRPr="007F56C2">
        <w:rPr>
          <w:lang w:val="en-GB"/>
        </w:rPr>
        <w:t xml:space="preserve">. Le </w:t>
      </w:r>
      <w:r w:rsidR="00BF28C7">
        <w:rPr>
          <w:lang w:val="en-GB"/>
        </w:rPr>
        <w:t xml:space="preserve">dolutegravir </w:t>
      </w:r>
      <w:r w:rsidRPr="00BF28C7" w:rsidR="00BF28C7">
        <w:rPr>
          <w:lang w:val="en-GB"/>
        </w:rPr>
        <w:t>pédiatrique</w:t>
      </w:r>
      <w:r w:rsidRPr="00BF28C7" w:rsidR="00BF28C7">
        <w:rPr>
          <w:lang w:val="en-GB"/>
        </w:rPr>
        <w:t xml:space="preserve"> </w:t>
      </w:r>
      <w:r w:rsidRPr="00BF28C7" w:rsidR="00BF28C7">
        <w:rPr>
          <w:lang w:val="en-GB"/>
        </w:rPr>
        <w:t>en</w:t>
      </w:r>
      <w:r w:rsidRPr="00BF28C7" w:rsidR="00BF28C7">
        <w:rPr>
          <w:lang w:val="en-GB"/>
        </w:rPr>
        <w:t xml:space="preserve"> </w:t>
      </w:r>
      <w:r w:rsidRPr="00BF28C7" w:rsidR="00BF28C7">
        <w:rPr>
          <w:lang w:val="en-GB"/>
        </w:rPr>
        <w:t>comprimés</w:t>
      </w:r>
      <w:r w:rsidRPr="00BF28C7" w:rsidR="00BF28C7">
        <w:rPr>
          <w:lang w:val="en-GB"/>
        </w:rPr>
        <w:t xml:space="preserve"> </w:t>
      </w:r>
      <w:r w:rsidRPr="00BF28C7" w:rsidR="00BF28C7">
        <w:rPr>
          <w:lang w:val="en-GB"/>
        </w:rPr>
        <w:t>dispersibles</w:t>
      </w:r>
      <w:r w:rsidRPr="00BF28C7" w:rsidR="00BF28C7">
        <w:rPr>
          <w:lang w:val="en-GB"/>
        </w:rPr>
        <w:t xml:space="preserve"> et </w:t>
      </w:r>
      <w:r w:rsidRPr="00BF28C7" w:rsidR="00BF28C7">
        <w:rPr>
          <w:lang w:val="en-GB"/>
        </w:rPr>
        <w:t>sécables</w:t>
      </w:r>
      <w:r w:rsidRPr="00BF28C7" w:rsidR="00BF28C7">
        <w:rPr>
          <w:lang w:val="en-GB"/>
        </w:rPr>
        <w:t xml:space="preserve"> de 10 mg (pDTG) </w:t>
      </w:r>
      <w:r w:rsidRPr="00C53AE0">
        <w:rPr>
          <w:lang w:val="en-GB"/>
        </w:rPr>
        <w:t>offre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une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meilleure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tolérance</w:t>
      </w:r>
      <w:r w:rsidRPr="00C53AE0">
        <w:rPr>
          <w:lang w:val="en-GB"/>
        </w:rPr>
        <w:t xml:space="preserve"> que le LPV/r, </w:t>
      </w:r>
      <w:r w:rsidRPr="00C53AE0">
        <w:rPr>
          <w:lang w:val="en-GB"/>
        </w:rPr>
        <w:t>possède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une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meilleure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barrière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génétique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contre</w:t>
      </w:r>
      <w:r w:rsidRPr="00C53AE0">
        <w:rPr>
          <w:lang w:val="en-GB"/>
        </w:rPr>
        <w:t xml:space="preserve"> la </w:t>
      </w:r>
      <w:r w:rsidRPr="00C53AE0">
        <w:rPr>
          <w:lang w:val="en-GB"/>
        </w:rPr>
        <w:t>résistance</w:t>
      </w:r>
      <w:r w:rsidRPr="00C53AE0">
        <w:rPr>
          <w:lang w:val="en-GB"/>
        </w:rPr>
        <w:t xml:space="preserve"> (un </w:t>
      </w:r>
      <w:r w:rsidRPr="00C53AE0">
        <w:rPr>
          <w:lang w:val="en-GB"/>
        </w:rPr>
        <w:t>avantage</w:t>
      </w:r>
      <w:r w:rsidRPr="00C53AE0">
        <w:rPr>
          <w:lang w:val="en-GB"/>
        </w:rPr>
        <w:t xml:space="preserve"> certain par rapport aux </w:t>
      </w:r>
      <w:r w:rsidRPr="00C53AE0">
        <w:rPr>
          <w:lang w:val="en-GB"/>
        </w:rPr>
        <w:t>inhibiteurs</w:t>
      </w:r>
      <w:r w:rsidRPr="00C53AE0">
        <w:rPr>
          <w:lang w:val="en-GB"/>
        </w:rPr>
        <w:t xml:space="preserve"> non </w:t>
      </w:r>
      <w:r w:rsidRPr="00C53AE0">
        <w:rPr>
          <w:lang w:val="en-GB"/>
        </w:rPr>
        <w:t>nucléosidiques</w:t>
      </w:r>
      <w:r w:rsidRPr="00C53AE0">
        <w:rPr>
          <w:lang w:val="en-GB"/>
        </w:rPr>
        <w:t xml:space="preserve"> de la transcriptase inverse [INNTI]) et </w:t>
      </w:r>
      <w:r w:rsidRPr="00C53AE0">
        <w:rPr>
          <w:lang w:val="en-GB"/>
        </w:rPr>
        <w:t>est</w:t>
      </w:r>
      <w:r w:rsidRPr="00C53AE0">
        <w:rPr>
          <w:lang w:val="en-GB"/>
        </w:rPr>
        <w:t xml:space="preserve"> pris </w:t>
      </w:r>
      <w:r w:rsidRPr="00C53AE0">
        <w:rPr>
          <w:lang w:val="en-GB"/>
        </w:rPr>
        <w:t>une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fois</w:t>
      </w:r>
      <w:r w:rsidRPr="00C53AE0">
        <w:rPr>
          <w:lang w:val="en-GB"/>
        </w:rPr>
        <w:t xml:space="preserve"> par jour (</w:t>
      </w:r>
      <w:r w:rsidRPr="00C53AE0">
        <w:rPr>
          <w:lang w:val="en-GB"/>
        </w:rPr>
        <w:t>alors</w:t>
      </w:r>
      <w:r w:rsidRPr="00C53AE0">
        <w:rPr>
          <w:lang w:val="en-GB"/>
        </w:rPr>
        <w:t xml:space="preserve"> que le LPV/r et les NVP le </w:t>
      </w:r>
      <w:r w:rsidRPr="00C53AE0">
        <w:rPr>
          <w:lang w:val="en-GB"/>
        </w:rPr>
        <w:t>sont</w:t>
      </w:r>
      <w:r w:rsidRPr="00C53AE0">
        <w:rPr>
          <w:lang w:val="en-GB"/>
        </w:rPr>
        <w:t xml:space="preserve"> deux </w:t>
      </w:r>
      <w:r w:rsidRPr="00C53AE0">
        <w:rPr>
          <w:lang w:val="en-GB"/>
        </w:rPr>
        <w:t>fois</w:t>
      </w:r>
      <w:r w:rsidRPr="00C53AE0">
        <w:rPr>
          <w:lang w:val="en-GB"/>
        </w:rPr>
        <w:t xml:space="preserve"> par jour). Le </w:t>
      </w:r>
      <w:r w:rsidRPr="00C53AE0">
        <w:rPr>
          <w:lang w:val="en-GB"/>
        </w:rPr>
        <w:t>comprimé</w:t>
      </w:r>
      <w:r w:rsidRPr="00C53AE0">
        <w:rPr>
          <w:lang w:val="en-GB"/>
        </w:rPr>
        <w:t xml:space="preserve"> dispersible pDTG </w:t>
      </w:r>
      <w:r w:rsidRPr="00C53AE0">
        <w:rPr>
          <w:lang w:val="en-GB"/>
        </w:rPr>
        <w:t>est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également</w:t>
      </w:r>
      <w:r w:rsidRPr="00C53AE0">
        <w:rPr>
          <w:lang w:val="en-GB"/>
        </w:rPr>
        <w:t xml:space="preserve"> plus </w:t>
      </w:r>
      <w:r w:rsidRPr="00C53AE0">
        <w:rPr>
          <w:lang w:val="en-GB"/>
        </w:rPr>
        <w:t>agréable</w:t>
      </w:r>
      <w:r w:rsidRPr="00C53AE0">
        <w:rPr>
          <w:lang w:val="en-GB"/>
        </w:rPr>
        <w:t xml:space="preserve"> au </w:t>
      </w:r>
      <w:r w:rsidRPr="00C53AE0">
        <w:rPr>
          <w:lang w:val="en-GB"/>
        </w:rPr>
        <w:t>goût</w:t>
      </w:r>
      <w:r w:rsidRPr="00C53AE0">
        <w:rPr>
          <w:lang w:val="en-GB"/>
        </w:rPr>
        <w:t xml:space="preserve"> de </w:t>
      </w:r>
      <w:r>
        <w:rPr>
          <w:lang w:val="en-GB"/>
        </w:rPr>
        <w:t xml:space="preserve">crème de fraise </w:t>
      </w:r>
      <w:r>
        <w:rPr>
          <w:lang w:val="en-GB"/>
        </w:rPr>
        <w:t>lorsqu'il</w:t>
      </w:r>
      <w:r>
        <w:rPr>
          <w:lang w:val="en-GB"/>
        </w:rPr>
        <w:t xml:space="preserve"> </w:t>
      </w:r>
      <w:r>
        <w:rPr>
          <w:lang w:val="en-GB"/>
        </w:rPr>
        <w:t>est</w:t>
      </w:r>
      <w:r>
        <w:rPr>
          <w:lang w:val="en-GB"/>
        </w:rPr>
        <w:t xml:space="preserve"> </w:t>
      </w:r>
      <w:r>
        <w:rPr>
          <w:lang w:val="en-GB"/>
        </w:rPr>
        <w:t>dispersé</w:t>
      </w:r>
      <w:r>
        <w:rPr>
          <w:lang w:val="en-GB"/>
        </w:rPr>
        <w:t xml:space="preserve"> dans </w:t>
      </w:r>
      <w:r>
        <w:rPr>
          <w:lang w:val="en-GB"/>
        </w:rPr>
        <w:t>l'eau</w:t>
      </w:r>
      <w:r>
        <w:rPr>
          <w:lang w:val="en-GB"/>
        </w:rPr>
        <w:t xml:space="preserve"> que le </w:t>
      </w:r>
      <w:r w:rsidRPr="00C53AE0">
        <w:rPr>
          <w:lang w:val="en-GB"/>
        </w:rPr>
        <w:t>goût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amer</w:t>
      </w:r>
      <w:r w:rsidRPr="00C53AE0">
        <w:rPr>
          <w:lang w:val="en-GB"/>
        </w:rPr>
        <w:t xml:space="preserve"> de LPV/r, qui </w:t>
      </w:r>
      <w:r w:rsidRPr="00C53AE0">
        <w:rPr>
          <w:lang w:val="en-GB"/>
        </w:rPr>
        <w:t>est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présent</w:t>
      </w:r>
      <w:r w:rsidRPr="00C53AE0">
        <w:rPr>
          <w:lang w:val="en-GB"/>
        </w:rPr>
        <w:t xml:space="preserve"> dans la plus </w:t>
      </w:r>
      <w:r w:rsidRPr="00C53AE0">
        <w:rPr>
          <w:lang w:val="en-GB"/>
        </w:rPr>
        <w:t>grande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mesure</w:t>
      </w:r>
      <w:r w:rsidRPr="00C53AE0">
        <w:rPr>
          <w:lang w:val="en-GB"/>
        </w:rPr>
        <w:t xml:space="preserve"> dans le sirop et dans </w:t>
      </w:r>
      <w:r w:rsidRPr="00C53AE0">
        <w:rPr>
          <w:lang w:val="en-GB"/>
        </w:rPr>
        <w:t>une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moindre</w:t>
      </w:r>
      <w:r w:rsidRPr="00C53AE0">
        <w:rPr>
          <w:lang w:val="en-GB"/>
        </w:rPr>
        <w:t xml:space="preserve"> </w:t>
      </w:r>
      <w:r w:rsidRPr="00C53AE0">
        <w:rPr>
          <w:lang w:val="en-GB"/>
        </w:rPr>
        <w:t>mesure</w:t>
      </w:r>
      <w:r w:rsidRPr="00C53AE0">
        <w:rPr>
          <w:lang w:val="en-GB"/>
        </w:rPr>
        <w:t xml:space="preserve"> dans les </w:t>
      </w:r>
      <w:r w:rsidRPr="00C53AE0">
        <w:rPr>
          <w:lang w:val="en-GB"/>
        </w:rPr>
        <w:t>granulés</w:t>
      </w:r>
      <w:r w:rsidRPr="00C53AE0">
        <w:rPr>
          <w:lang w:val="en-GB"/>
        </w:rPr>
        <w:t xml:space="preserve"> et les pellets.</w:t>
      </w:r>
    </w:p>
    <w:p w:rsidRPr="00C53AE0" w:rsidR="00DE442E" w:rsidP="00370DC1" w:rsidRDefault="00DE442E" w14:paraId="1FF2BE0E" w14:textId="77777777">
      <w:pPr>
        <w:spacing w:after="0"/>
        <w:jc w:val="center"/>
        <w:rPr>
          <w:lang w:val="en-GB"/>
        </w:rPr>
      </w:pPr>
      <w:r w:rsidRPr="00C53AE0">
        <w:rPr>
          <w:b/>
          <w:bCs/>
          <w:lang w:val="en-GB"/>
        </w:rPr>
        <w:t xml:space="preserve">Tableau 1 : </w:t>
      </w:r>
      <w:proofErr w:type="spellStart"/>
      <w:r w:rsidRPr="00C53AE0">
        <w:rPr>
          <w:lang w:val="en-GB"/>
        </w:rPr>
        <w:t>Régimes</w:t>
      </w:r>
      <w:proofErr w:type="spellEnd"/>
      <w:r w:rsidRPr="00C53AE0">
        <w:rPr>
          <w:lang w:val="en-GB"/>
        </w:rPr>
        <w:t xml:space="preserve"> de </w:t>
      </w:r>
      <w:proofErr w:type="spellStart"/>
      <w:r w:rsidRPr="00C53AE0">
        <w:rPr>
          <w:lang w:val="en-GB"/>
        </w:rPr>
        <w:t>traitement</w:t>
      </w:r>
      <w:proofErr w:type="spellEnd"/>
      <w:r w:rsidRPr="00C53AE0">
        <w:rPr>
          <w:lang w:val="en-GB"/>
        </w:rPr>
        <w:t xml:space="preserve"> </w:t>
      </w:r>
      <w:proofErr w:type="spellStart"/>
      <w:r w:rsidRPr="00C53AE0">
        <w:rPr>
          <w:lang w:val="en-GB"/>
        </w:rPr>
        <w:t>pédiatrique</w:t>
      </w:r>
      <w:proofErr w:type="spellEnd"/>
      <w:r w:rsidRPr="00C53AE0">
        <w:rPr>
          <w:lang w:val="en-GB"/>
        </w:rPr>
        <w:t xml:space="preserve"> </w:t>
      </w:r>
      <w:proofErr w:type="spellStart"/>
      <w:r w:rsidRPr="00C53AE0">
        <w:rPr>
          <w:lang w:val="en-GB"/>
        </w:rPr>
        <w:t>préférés</w:t>
      </w:r>
      <w:proofErr w:type="spellEnd"/>
      <w:r w:rsidRPr="00C53AE0">
        <w:rPr>
          <w:lang w:val="en-GB"/>
        </w:rPr>
        <w:t xml:space="preserve"> de 1L, OMS 2020</w:t>
      </w:r>
    </w:p>
    <w:tbl>
      <w:tblPr>
        <w:tblW w:w="9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60"/>
        <w:gridCol w:w="3060"/>
        <w:gridCol w:w="3061"/>
      </w:tblGrid>
      <w:tr w:rsidRPr="00C53AE0" w:rsidR="00DE442E" w:rsidTr="006A5DDB" w14:paraId="02544429" w14:textId="77777777">
        <w:trPr>
          <w:trHeight w:val="190"/>
        </w:trPr>
        <w:tc>
          <w:tcPr>
            <w:tcW w:w="3060" w:type="dxa"/>
            <w:shd w:val="clear" w:color="auto" w:fill="244061" w:themeFill="accent1" w:themeFillShade="80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C53AE0" w:rsidR="00DE442E" w:rsidP="00370DC1" w:rsidRDefault="00DE442E" w14:paraId="3E71D0FD" w14:textId="77777777">
            <w:pPr>
              <w:spacing w:after="0"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C53AE0">
              <w:rPr>
                <w:rFonts w:hAnsi="Calibri" w:eastAsia="Arial" w:cs="Arial"/>
                <w:b/>
                <w:color w:val="FFFFFF" w:themeColor="background1"/>
                <w:kern w:val="24"/>
                <w:sz w:val="20"/>
                <w:szCs w:val="20"/>
                <w:lang w:val="en-GB" w:eastAsia="en-GB"/>
              </w:rPr>
              <w:t>Population</w:t>
            </w:r>
          </w:p>
        </w:tc>
        <w:tc>
          <w:tcPr>
            <w:tcW w:w="3060" w:type="dxa"/>
            <w:shd w:val="clear" w:color="auto" w:fill="244061" w:themeFill="accent1" w:themeFillShade="80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C53AE0" w:rsidR="00DE442E" w:rsidP="00370DC1" w:rsidRDefault="00DE442E" w14:paraId="2F6B52B4" w14:textId="77777777">
            <w:pPr>
              <w:spacing w:after="0"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proofErr w:type="spellStart"/>
            <w:r w:rsidRPr="00C53AE0">
              <w:rPr>
                <w:rFonts w:hAnsi="Calibri" w:eastAsia="Arial" w:cs="Arial"/>
                <w:b/>
                <w:color w:val="FFFFFF" w:themeColor="background1"/>
                <w:kern w:val="24"/>
                <w:sz w:val="20"/>
                <w:szCs w:val="20"/>
                <w:lang w:val="en-GB" w:eastAsia="en-GB"/>
              </w:rPr>
              <w:t>Régime</w:t>
            </w:r>
            <w:proofErr w:type="spellEnd"/>
            <w:r w:rsidRPr="00C53AE0">
              <w:rPr>
                <w:rFonts w:hAnsi="Calibri" w:eastAsia="Arial" w:cs="Arial"/>
                <w:b/>
                <w:color w:val="FFFFFF" w:themeColor="background1"/>
                <w:kern w:val="24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53AE0">
              <w:rPr>
                <w:rFonts w:hAnsi="Calibri" w:eastAsia="Arial" w:cs="Arial"/>
                <w:b/>
                <w:color w:val="FFFFFF" w:themeColor="background1"/>
                <w:kern w:val="24"/>
                <w:sz w:val="20"/>
                <w:szCs w:val="20"/>
                <w:lang w:val="en-GB" w:eastAsia="en-GB"/>
              </w:rPr>
              <w:t>préférentiel</w:t>
            </w:r>
            <w:proofErr w:type="spellEnd"/>
            <w:r w:rsidRPr="00C53AE0">
              <w:rPr>
                <w:rFonts w:hAnsi="Calibri" w:eastAsia="Arial" w:cs="Arial"/>
                <w:b/>
                <w:color w:val="FFFFFF" w:themeColor="background1"/>
                <w:kern w:val="24"/>
                <w:sz w:val="20"/>
                <w:szCs w:val="20"/>
                <w:lang w:val="en-GB" w:eastAsia="en-GB"/>
              </w:rPr>
              <w:t xml:space="preserve"> 1L</w:t>
            </w:r>
          </w:p>
        </w:tc>
        <w:tc>
          <w:tcPr>
            <w:tcW w:w="3061" w:type="dxa"/>
            <w:shd w:val="clear" w:color="auto" w:fill="244061" w:themeFill="accent1" w:themeFillShade="80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C53AE0" w:rsidR="00DE442E" w:rsidP="00370DC1" w:rsidRDefault="00DE442E" w14:paraId="4350803C" w14:textId="77777777">
            <w:pPr>
              <w:spacing w:after="0"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C53AE0">
              <w:rPr>
                <w:rFonts w:hAnsi="Calibri" w:eastAsia="Arial" w:cs="Arial"/>
                <w:b/>
                <w:color w:val="FFFFFF" w:themeColor="background1"/>
                <w:kern w:val="24"/>
                <w:sz w:val="20"/>
                <w:szCs w:val="20"/>
                <w:lang w:val="en-GB" w:eastAsia="en-GB"/>
              </w:rPr>
              <w:t>Alternative 1L</w:t>
            </w:r>
          </w:p>
        </w:tc>
      </w:tr>
      <w:tr w:rsidRPr="00C53AE0" w:rsidR="00DE442E" w:rsidTr="006A5DDB" w14:paraId="4E1BD977" w14:textId="77777777">
        <w:trPr>
          <w:trHeight w:val="20"/>
        </w:trPr>
        <w:tc>
          <w:tcPr>
            <w:tcW w:w="3060" w:type="dxa"/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C53AE0" w:rsidR="00DE442E" w:rsidP="00370DC1" w:rsidRDefault="00DE442E" w14:paraId="75C77B82" w14:textId="77777777">
            <w:pPr>
              <w:spacing w:after="0"/>
              <w:jc w:val="center"/>
              <w:rPr>
                <w:rFonts w:hAnsi="Calibri" w:eastAsia="Arial" w:cs="Arial"/>
                <w:color w:val="000000" w:themeColor="dark1"/>
                <w:kern w:val="24"/>
                <w:sz w:val="20"/>
                <w:szCs w:val="20"/>
                <w:lang w:val="en-GB" w:eastAsia="en-GB"/>
              </w:rPr>
            </w:pPr>
            <w:r w:rsidRPr="00C53AE0">
              <w:rPr>
                <w:rFonts w:hAnsi="Calibri" w:eastAsia="Arial" w:cs="Arial"/>
                <w:color w:val="000000" w:themeColor="dark1"/>
                <w:kern w:val="24"/>
                <w:sz w:val="20"/>
                <w:szCs w:val="20"/>
                <w:lang w:val="en-GB" w:eastAsia="en-GB"/>
              </w:rPr>
              <w:t>Enfants</w:t>
            </w:r>
          </w:p>
          <w:p w:rsidRPr="00C53AE0" w:rsidR="00DE442E" w:rsidP="00370DC1" w:rsidRDefault="00DE442E" w14:paraId="00DA274A" w14:textId="77777777">
            <w:pPr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  <w:lang w:val="en-GB" w:eastAsia="en-GB"/>
              </w:rPr>
            </w:pPr>
            <w:r w:rsidRPr="00C53AE0">
              <w:rPr>
                <w:rFonts w:hAnsi="Calibri" w:eastAsia="Arial" w:cs="Arial"/>
                <w:color w:val="000000" w:themeColor="dark1"/>
                <w:kern w:val="24"/>
                <w:sz w:val="20"/>
                <w:szCs w:val="20"/>
                <w:lang w:val="en-GB" w:eastAsia="en-GB"/>
              </w:rPr>
              <w:t xml:space="preserve">(&gt;4 </w:t>
            </w:r>
            <w:proofErr w:type="spellStart"/>
            <w:r w:rsidRPr="00C53AE0">
              <w:rPr>
                <w:rFonts w:hAnsi="Calibri" w:eastAsia="Arial" w:cs="Arial"/>
                <w:color w:val="000000" w:themeColor="dark1"/>
                <w:kern w:val="24"/>
                <w:sz w:val="20"/>
                <w:szCs w:val="20"/>
                <w:lang w:val="en-GB" w:eastAsia="en-GB"/>
              </w:rPr>
              <w:t>semaines</w:t>
            </w:r>
            <w:proofErr w:type="spellEnd"/>
            <w:r w:rsidRPr="00C53AE0">
              <w:rPr>
                <w:rFonts w:hAnsi="Calibri" w:eastAsia="Arial" w:cs="Arial"/>
                <w:color w:val="000000" w:themeColor="dark1"/>
                <w:kern w:val="24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53AE0">
              <w:rPr>
                <w:rFonts w:hAnsi="Calibri" w:eastAsia="Arial" w:cs="Arial"/>
                <w:color w:val="000000" w:themeColor="dark1"/>
                <w:kern w:val="24"/>
                <w:sz w:val="20"/>
                <w:szCs w:val="20"/>
                <w:lang w:val="en-GB" w:eastAsia="en-GB"/>
              </w:rPr>
              <w:t>d'âge</w:t>
            </w:r>
            <w:proofErr w:type="spellEnd"/>
            <w:r w:rsidRPr="00C53AE0">
              <w:rPr>
                <w:rFonts w:hAnsi="Calibri" w:eastAsia="Arial" w:cs="Arial"/>
                <w:color w:val="000000" w:themeColor="dark1"/>
                <w:kern w:val="24"/>
                <w:sz w:val="20"/>
                <w:szCs w:val="20"/>
                <w:lang w:val="en-GB" w:eastAsia="en-GB"/>
              </w:rPr>
              <w:t xml:space="preserve"> &amp; ≥3 kg</w:t>
            </w:r>
            <w:r w:rsidRPr="00C53AE0">
              <w:rPr>
                <w:rFonts w:eastAsia="Arial" w:cstheme="minorHAnsi"/>
                <w:color w:val="000000" w:themeColor="dark1"/>
                <w:kern w:val="24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3060" w:type="dxa"/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C53AE0" w:rsidR="00DE442E" w:rsidP="00370DC1" w:rsidRDefault="00DE442E" w14:paraId="4C21EC11" w14:textId="77777777">
            <w:pPr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  <w:lang w:val="en-GB" w:eastAsia="en-GB"/>
              </w:rPr>
            </w:pPr>
            <w:r w:rsidRPr="00C53AE0">
              <w:rPr>
                <w:rFonts w:hAnsi="Calibri" w:eastAsia="Calibri" w:cs="Times New Roman"/>
                <w:color w:val="000000" w:themeColor="dark1"/>
                <w:kern w:val="24"/>
                <w:sz w:val="20"/>
                <w:szCs w:val="20"/>
                <w:lang w:val="en-GB" w:eastAsia="en-GB"/>
              </w:rPr>
              <w:t>ABC + 3TC + DTG</w:t>
            </w:r>
          </w:p>
        </w:tc>
        <w:tc>
          <w:tcPr>
            <w:tcW w:w="3061" w:type="dxa"/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C53AE0" w:rsidR="00DE442E" w:rsidP="00370DC1" w:rsidRDefault="00DE442E" w14:paraId="4C6A2C21" w14:textId="77777777">
            <w:pPr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  <w:lang w:val="en-GB" w:eastAsia="en-GB"/>
              </w:rPr>
            </w:pPr>
            <w:r w:rsidRPr="00C53AE0">
              <w:rPr>
                <w:rFonts w:hAnsi="Calibri" w:eastAsia="Calibri" w:cs="Times New Roman"/>
                <w:color w:val="000000" w:themeColor="dark1"/>
                <w:kern w:val="24"/>
                <w:sz w:val="20"/>
                <w:szCs w:val="20"/>
                <w:lang w:val="en-GB" w:eastAsia="en-GB"/>
              </w:rPr>
              <w:t xml:space="preserve">ABC + 3TC + (LPV/r </w:t>
            </w:r>
            <w:proofErr w:type="spellStart"/>
            <w:r w:rsidRPr="00C53AE0">
              <w:rPr>
                <w:rFonts w:hAnsi="Calibri" w:eastAsia="Calibri" w:cs="Times New Roman"/>
                <w:color w:val="000000" w:themeColor="dark1"/>
                <w:kern w:val="24"/>
                <w:sz w:val="20"/>
                <w:szCs w:val="20"/>
                <w:lang w:val="en-GB" w:eastAsia="en-GB"/>
              </w:rPr>
              <w:t>ou</w:t>
            </w:r>
            <w:proofErr w:type="spellEnd"/>
            <w:r w:rsidRPr="00C53AE0">
              <w:rPr>
                <w:rFonts w:hAnsi="Calibri" w:eastAsia="Calibri" w:cs="Times New Roman"/>
                <w:color w:val="000000" w:themeColor="dark1"/>
                <w:kern w:val="24"/>
                <w:sz w:val="20"/>
                <w:szCs w:val="20"/>
                <w:lang w:val="en-GB" w:eastAsia="en-GB"/>
              </w:rPr>
              <w:t xml:space="preserve"> RAL)</w:t>
            </w:r>
          </w:p>
          <w:p w:rsidRPr="00C53AE0" w:rsidR="00DE442E" w:rsidP="00370DC1" w:rsidRDefault="00DE442E" w14:paraId="202BDF22" w14:textId="77777777">
            <w:pPr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  <w:lang w:val="en-GB" w:eastAsia="en-GB"/>
              </w:rPr>
            </w:pPr>
            <w:r w:rsidRPr="00C53AE0">
              <w:rPr>
                <w:rFonts w:hAnsi="Calibri" w:eastAsia="Calibri" w:cs="Times New Roman"/>
                <w:color w:val="000000" w:themeColor="dark1"/>
                <w:kern w:val="24"/>
                <w:sz w:val="20"/>
                <w:szCs w:val="20"/>
                <w:lang w:val="en-GB" w:eastAsia="en-GB"/>
              </w:rPr>
              <w:t xml:space="preserve">TAF + (3TC </w:t>
            </w:r>
            <w:proofErr w:type="spellStart"/>
            <w:r w:rsidRPr="00C53AE0">
              <w:rPr>
                <w:rFonts w:hAnsi="Calibri" w:eastAsia="Calibri" w:cs="Times New Roman"/>
                <w:color w:val="000000" w:themeColor="dark1"/>
                <w:kern w:val="24"/>
                <w:sz w:val="20"/>
                <w:szCs w:val="20"/>
                <w:lang w:val="en-GB" w:eastAsia="en-GB"/>
              </w:rPr>
              <w:t>ou</w:t>
            </w:r>
            <w:proofErr w:type="spellEnd"/>
            <w:r w:rsidRPr="00C53AE0">
              <w:rPr>
                <w:rFonts w:hAnsi="Calibri" w:eastAsia="Calibri" w:cs="Times New Roman"/>
                <w:color w:val="000000" w:themeColor="dark1"/>
                <w:kern w:val="24"/>
                <w:sz w:val="20"/>
                <w:szCs w:val="20"/>
                <w:lang w:val="en-GB" w:eastAsia="en-GB"/>
              </w:rPr>
              <w:t xml:space="preserve"> FTC) + DTG</w:t>
            </w:r>
          </w:p>
        </w:tc>
      </w:tr>
      <w:tr w:rsidRPr="00C53AE0" w:rsidR="00DE442E" w:rsidTr="006A5DDB" w14:paraId="66F6EC2C" w14:textId="77777777">
        <w:trPr>
          <w:trHeight w:val="147"/>
        </w:trPr>
        <w:tc>
          <w:tcPr>
            <w:tcW w:w="3060" w:type="dxa"/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C53AE0" w:rsidR="00DE442E" w:rsidP="00370DC1" w:rsidRDefault="00DE442E" w14:paraId="1D729A53" w14:textId="77777777">
            <w:pPr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  <w:lang w:val="en-GB" w:eastAsia="en-GB"/>
              </w:rPr>
            </w:pPr>
            <w:r w:rsidRPr="00C53AE0">
              <w:rPr>
                <w:rFonts w:hAnsi="Calibri" w:eastAsia="Arial" w:cs="Arial"/>
                <w:color w:val="000000" w:themeColor="dark1"/>
                <w:kern w:val="24"/>
                <w:sz w:val="20"/>
                <w:szCs w:val="20"/>
                <w:lang w:val="en-GB" w:eastAsia="en-GB"/>
              </w:rPr>
              <w:t>Les nouveaux-</w:t>
            </w:r>
            <w:proofErr w:type="spellStart"/>
            <w:r w:rsidRPr="00C53AE0">
              <w:rPr>
                <w:rFonts w:hAnsi="Calibri" w:eastAsia="Arial" w:cs="Arial"/>
                <w:color w:val="000000" w:themeColor="dark1"/>
                <w:kern w:val="24"/>
                <w:sz w:val="20"/>
                <w:szCs w:val="20"/>
                <w:lang w:val="en-GB" w:eastAsia="en-GB"/>
              </w:rPr>
              <w:t>nés</w:t>
            </w:r>
            <w:proofErr w:type="spellEnd"/>
          </w:p>
        </w:tc>
        <w:tc>
          <w:tcPr>
            <w:tcW w:w="3060" w:type="dxa"/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C53AE0" w:rsidR="00DE442E" w:rsidP="00370DC1" w:rsidRDefault="00DE442E" w14:paraId="509731CD" w14:textId="77777777">
            <w:pPr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  <w:lang w:val="en-GB" w:eastAsia="en-GB"/>
              </w:rPr>
            </w:pPr>
            <w:r w:rsidRPr="00C53AE0">
              <w:rPr>
                <w:rFonts w:hAnsi="Calibri" w:eastAsia="Calibri" w:cs="Times New Roman"/>
                <w:color w:val="000000" w:themeColor="text1"/>
                <w:kern w:val="24"/>
                <w:sz w:val="20"/>
                <w:szCs w:val="20"/>
                <w:lang w:val="en-GB" w:eastAsia="en-GB"/>
              </w:rPr>
              <w:t>AZT + 3TC + RAL</w:t>
            </w:r>
          </w:p>
        </w:tc>
        <w:tc>
          <w:tcPr>
            <w:tcW w:w="3061" w:type="dxa"/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C53AE0" w:rsidR="00DE442E" w:rsidP="00370DC1" w:rsidRDefault="00DE442E" w14:paraId="535E6288" w14:textId="77777777">
            <w:pPr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  <w:lang w:val="en-GB" w:eastAsia="en-GB"/>
              </w:rPr>
            </w:pPr>
            <w:r w:rsidRPr="00C53AE0">
              <w:rPr>
                <w:rFonts w:hAnsi="Calibri" w:eastAsia="Calibri" w:cs="Times New Roman"/>
                <w:color w:val="000000" w:themeColor="dark1"/>
                <w:kern w:val="24"/>
                <w:sz w:val="20"/>
                <w:szCs w:val="20"/>
                <w:lang w:val="en-GB" w:eastAsia="en-GB"/>
              </w:rPr>
              <w:t>AZT + 3TC + NVP</w:t>
            </w:r>
          </w:p>
        </w:tc>
      </w:tr>
    </w:tbl>
    <w:p w:rsidRPr="00C53AE0" w:rsidR="00DE442E" w:rsidP="00370DC1" w:rsidRDefault="00DE442E" w14:paraId="29CF3BFD" w14:textId="77777777">
      <w:pPr>
        <w:pStyle w:val="Default"/>
        <w:spacing w:line="276" w:lineRule="auto"/>
        <w:rPr>
          <w:sz w:val="22"/>
          <w:szCs w:val="22"/>
        </w:rPr>
      </w:pPr>
    </w:p>
    <w:p w:rsidRPr="00C53AE0" w:rsidR="00DE442E" w:rsidP="00370DC1" w:rsidRDefault="00DE442E" w14:paraId="0E3D10E3" w14:textId="728CEE12">
      <w:pPr>
        <w:pStyle w:val="Default"/>
        <w:spacing w:after="160" w:line="276" w:lineRule="auto"/>
        <w:jc w:val="both"/>
        <w:rPr>
          <w:sz w:val="22"/>
          <w:szCs w:val="22"/>
        </w:rPr>
      </w:pPr>
      <w:r w:rsidRPr="00C53AE0">
        <w:rPr>
          <w:sz w:val="22"/>
          <w:szCs w:val="22"/>
        </w:rPr>
        <w:t>Cette</w:t>
      </w:r>
      <w:r w:rsidRPr="00C53AE0">
        <w:rPr>
          <w:sz w:val="22"/>
          <w:szCs w:val="22"/>
        </w:rPr>
        <w:t xml:space="preserve"> nouvelle orientation a </w:t>
      </w:r>
      <w:proofErr w:type="spellStart"/>
      <w:r w:rsidRPr="00C53AE0">
        <w:rPr>
          <w:sz w:val="22"/>
          <w:szCs w:val="22"/>
        </w:rPr>
        <w:t>coïncidé</w:t>
      </w:r>
      <w:proofErr w:type="spellEnd"/>
      <w:r w:rsidRPr="00C53AE0">
        <w:rPr>
          <w:sz w:val="22"/>
          <w:szCs w:val="22"/>
        </w:rPr>
        <w:t xml:space="preserve"> avec le </w:t>
      </w:r>
      <w:proofErr w:type="spellStart"/>
      <w:r w:rsidRPr="00C53AE0">
        <w:rPr>
          <w:sz w:val="22"/>
          <w:szCs w:val="22"/>
        </w:rPr>
        <w:t>dépôt</w:t>
      </w:r>
      <w:proofErr w:type="spellEnd"/>
      <w:r w:rsidRPr="00C53AE0">
        <w:rPr>
          <w:sz w:val="22"/>
          <w:szCs w:val="22"/>
        </w:rPr>
        <w:t xml:space="preserve"> par deux fabricants de </w:t>
      </w:r>
      <w:proofErr w:type="spellStart"/>
      <w:r w:rsidRPr="00C53AE0">
        <w:rPr>
          <w:sz w:val="22"/>
          <w:szCs w:val="22"/>
        </w:rPr>
        <w:t>génériques</w:t>
      </w:r>
      <w:proofErr w:type="spellEnd"/>
      <w:r w:rsidRPr="00C53AE0">
        <w:rPr>
          <w:sz w:val="22"/>
          <w:szCs w:val="22"/>
        </w:rPr>
        <w:t xml:space="preserve">, </w:t>
      </w:r>
      <w:proofErr w:type="spellStart"/>
      <w:r w:rsidRPr="00C53AE0">
        <w:rPr>
          <w:sz w:val="22"/>
          <w:szCs w:val="22"/>
        </w:rPr>
        <w:t xml:space="preserve">Viatris</w:t>
      </w:r>
      <w:proofErr w:type="spellEnd"/>
      <w:r w:rsidRPr="00C53AE0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anciennement</w:t>
      </w:r>
      <w:proofErr w:type="spellEnd"/>
      <w:r>
        <w:rPr>
          <w:sz w:val="22"/>
          <w:szCs w:val="22"/>
        </w:rPr>
        <w:t xml:space="preserve"> Mylan) </w:t>
      </w:r>
      <w:r w:rsidRPr="00C53AE0">
        <w:rPr>
          <w:sz w:val="22"/>
          <w:szCs w:val="22"/>
        </w:rPr>
        <w:t xml:space="preserve">et </w:t>
      </w:r>
      <w:proofErr w:type="spellStart"/>
      <w:r w:rsidRPr="00C53AE0">
        <w:rPr>
          <w:sz w:val="22"/>
          <w:szCs w:val="22"/>
        </w:rPr>
        <w:t xml:space="preserve">Macleods</w:t>
      </w:r>
      <w:proofErr w:type="spellEnd"/>
      <w:r w:rsidRPr="00C53AE0">
        <w:rPr>
          <w:sz w:val="22"/>
          <w:szCs w:val="22"/>
        </w:rPr>
        <w:t xml:space="preserve">, </w:t>
      </w:r>
      <w:proofErr w:type="spellStart"/>
      <w:r w:rsidRPr="00C53AE0">
        <w:rPr>
          <w:sz w:val="22"/>
          <w:szCs w:val="22"/>
        </w:rPr>
        <w:t>d'une</w:t>
      </w:r>
      <w:proofErr w:type="spellEnd"/>
      <w:r w:rsidRPr="00C53AE0">
        <w:rPr>
          <w:sz w:val="22"/>
          <w:szCs w:val="22"/>
        </w:rPr>
        <w:t xml:space="preserve"> </w:t>
      </w:r>
      <w:proofErr w:type="spellStart"/>
      <w:r w:rsidRPr="00C53AE0">
        <w:rPr>
          <w:sz w:val="22"/>
          <w:szCs w:val="22"/>
        </w:rPr>
        <w:t>demande</w:t>
      </w:r>
      <w:proofErr w:type="spellEnd"/>
      <w:r w:rsidRPr="00C53AE0">
        <w:rPr>
          <w:sz w:val="22"/>
          <w:szCs w:val="22"/>
        </w:rPr>
        <w:t xml:space="preserve"> </w:t>
      </w:r>
      <w:proofErr w:type="spellStart"/>
      <w:r w:rsidRPr="00C53AE0">
        <w:rPr>
          <w:sz w:val="22"/>
          <w:szCs w:val="22"/>
        </w:rPr>
        <w:t>d'approbation</w:t>
      </w:r>
      <w:proofErr w:type="spellEnd"/>
      <w:r w:rsidRPr="00C53AE0">
        <w:rPr>
          <w:sz w:val="22"/>
          <w:szCs w:val="22"/>
        </w:rPr>
        <w:t xml:space="preserve"> </w:t>
      </w:r>
      <w:proofErr w:type="spellStart"/>
      <w:r w:rsidRPr="00C53AE0">
        <w:rPr>
          <w:sz w:val="22"/>
          <w:szCs w:val="22"/>
        </w:rPr>
        <w:t>réglementaire</w:t>
      </w:r>
      <w:proofErr w:type="spellEnd"/>
      <w:r w:rsidRPr="00C53AE0">
        <w:rPr>
          <w:sz w:val="22"/>
          <w:szCs w:val="22"/>
        </w:rPr>
        <w:t xml:space="preserve"> du </w:t>
      </w:r>
      <w:proofErr w:type="spellStart"/>
      <w:r w:rsidRPr="00C53AE0">
        <w:rPr>
          <w:sz w:val="22"/>
          <w:szCs w:val="22"/>
        </w:rPr>
        <w:t xml:space="preserve">pDTG</w:t>
      </w:r>
      <w:proofErr w:type="spellEnd"/>
      <w:r w:rsidRPr="00C53AE0">
        <w:rPr>
          <w:sz w:val="22"/>
          <w:szCs w:val="22"/>
        </w:rPr>
        <w:t xml:space="preserve"> </w:t>
      </w:r>
      <w:proofErr w:type="spellStart"/>
      <w:r w:rsidRPr="00C53AE0">
        <w:rPr>
          <w:sz w:val="22"/>
          <w:szCs w:val="22"/>
        </w:rPr>
        <w:t>auprès</w:t>
      </w:r>
      <w:proofErr w:type="spellEnd"/>
      <w:r w:rsidRPr="00C53AE0">
        <w:rPr>
          <w:sz w:val="22"/>
          <w:szCs w:val="22"/>
        </w:rPr>
        <w:t xml:space="preserve"> de la Food and Drug Administration (FDA) des </w:t>
      </w:r>
      <w:proofErr w:type="spellStart"/>
      <w:r w:rsidRPr="00C53AE0">
        <w:rPr>
          <w:sz w:val="22"/>
          <w:szCs w:val="22"/>
        </w:rPr>
        <w:t>États</w:t>
      </w:r>
      <w:proofErr w:type="spellEnd"/>
      <w:r w:rsidRPr="00C53AE0">
        <w:rPr>
          <w:sz w:val="22"/>
          <w:szCs w:val="22"/>
        </w:rPr>
        <w:t xml:space="preserve">-Unis.</w:t>
      </w:r>
      <w:r w:rsidRPr="00C53AE0">
        <w:rPr>
          <w:sz w:val="22"/>
          <w:szCs w:val="22"/>
        </w:rPr>
        <w:t xml:space="preserve"> </w:t>
      </w:r>
      <w:r w:rsidRPr="013E522A" w:rsidR="013E522A">
        <w:rPr>
          <w:rFonts w:ascii="Calibri" w:hAnsi="Calibri" w:eastAsia="Calibri" w:cs="Calibri"/>
          <w:noProof w:val="0"/>
          <w:sz w:val="22"/>
          <w:szCs w:val="22"/>
          <w:lang w:val="fr"/>
        </w:rPr>
        <w:t xml:space="preserve">Au </w:t>
      </w:r>
      <w:r w:rsidRPr="013E522A" w:rsidR="013E522A">
        <w:rPr>
          <w:rFonts w:ascii="Calibri" w:hAnsi="Calibri" w:eastAsia="Calibri" w:cs="Calibri"/>
          <w:noProof w:val="0"/>
          <w:sz w:val="22"/>
          <w:szCs w:val="22"/>
          <w:lang w:val="fr"/>
        </w:rPr>
        <w:t>19</w:t>
      </w:r>
      <w:r w:rsidRPr="013E522A" w:rsidR="013E522A">
        <w:rPr>
          <w:rFonts w:ascii="Calibri" w:hAnsi="Calibri" w:eastAsia="Calibri" w:cs="Calibri"/>
          <w:noProof w:val="0"/>
          <w:sz w:val="22"/>
          <w:szCs w:val="22"/>
          <w:lang w:val="fr"/>
        </w:rPr>
        <w:t xml:space="preserve"> novembre 2020 (Viatris</w:t>
      </w:r>
      <w:r w:rsidRPr="013E522A" w:rsidR="013E522A">
        <w:rPr>
          <w:rFonts w:ascii="Calibri" w:hAnsi="Calibri" w:eastAsia="Calibri" w:cs="Calibri"/>
          <w:noProof w:val="0"/>
          <w:sz w:val="22"/>
          <w:szCs w:val="22"/>
          <w:vertAlign w:val="superscript"/>
          <w:lang w:val="fr"/>
        </w:rPr>
        <w:t>2</w:t>
      </w:r>
      <w:r w:rsidRPr="013E522A" w:rsidR="013E522A">
        <w:rPr>
          <w:rFonts w:ascii="Calibri" w:hAnsi="Calibri" w:eastAsia="Calibri" w:cs="Calibri"/>
          <w:noProof w:val="0"/>
          <w:sz w:val="22"/>
          <w:szCs w:val="22"/>
          <w:lang w:val="fr"/>
        </w:rPr>
        <w:t>) et au 16 mars 2021 (</w:t>
      </w:r>
      <w:r w:rsidRPr="013E522A" w:rsidR="013E522A">
        <w:rPr>
          <w:rFonts w:ascii="Calibri" w:hAnsi="Calibri" w:eastAsia="Calibri" w:cs="Calibri"/>
          <w:noProof w:val="0"/>
          <w:sz w:val="22"/>
          <w:szCs w:val="22"/>
          <w:lang w:val="fr"/>
        </w:rPr>
        <w:t>Macleods</w:t>
      </w:r>
      <w:r w:rsidRPr="013E522A" w:rsidR="013E522A">
        <w:rPr>
          <w:rFonts w:ascii="Calibri" w:hAnsi="Calibri" w:eastAsia="Calibri" w:cs="Calibri"/>
          <w:noProof w:val="0"/>
          <w:sz w:val="22"/>
          <w:szCs w:val="22"/>
          <w:vertAlign w:val="superscript"/>
          <w:lang w:val="fr"/>
        </w:rPr>
        <w:t>3</w:t>
      </w:r>
      <w:r w:rsidRPr="013E522A" w:rsidR="013E522A">
        <w:rPr>
          <w:rFonts w:ascii="Calibri" w:hAnsi="Calibri" w:eastAsia="Calibri" w:cs="Calibri"/>
          <w:noProof w:val="0"/>
          <w:sz w:val="22"/>
          <w:szCs w:val="22"/>
          <w:lang w:val="fr"/>
        </w:rPr>
        <w:t>) ont obtenu une approbation provisoire de l’autorité de régulation américaine ( FDA).</w:t>
      </w:r>
      <w:r w:rsidRPr="00C53AE0">
        <w:rPr>
          <w:sz w:val="22"/>
          <w:szCs w:val="22"/>
        </w:rPr>
        <w:t xml:space="preserve"> </w:t>
      </w:r>
      <w:r w:rsidRPr="00B744D0">
        <w:rPr>
          <w:sz w:val="22"/>
          <w:szCs w:val="22"/>
        </w:rPr>
        <w:t xml:space="preserve">Sur la base de </w:t>
      </w:r>
      <w:proofErr w:type="spellStart"/>
      <w:r w:rsidRPr="00B744D0">
        <w:rPr>
          <w:sz w:val="22"/>
          <w:szCs w:val="22"/>
        </w:rPr>
        <w:t>l'approbation</w:t>
      </w:r>
      <w:proofErr w:type="spellEnd"/>
      <w:r w:rsidRPr="00B744D0">
        <w:rPr>
          <w:sz w:val="22"/>
          <w:szCs w:val="22"/>
        </w:rPr>
        <w:t xml:space="preserve"> de </w:t>
      </w:r>
      <w:proofErr w:type="spellStart"/>
      <w:r w:rsidRPr="00B744D0">
        <w:rPr>
          <w:sz w:val="22"/>
          <w:szCs w:val="22"/>
        </w:rPr>
        <w:t xml:space="preserve">Viatris</w:t>
      </w:r>
      <w:proofErr w:type="spellEnd"/>
      <w:r w:rsidRPr="00B744D0">
        <w:rPr>
          <w:sz w:val="22"/>
          <w:szCs w:val="22"/>
        </w:rPr>
        <w:t xml:space="preserve"> et des orientations </w:t>
      </w:r>
      <w:proofErr w:type="spellStart"/>
      <w:r w:rsidRPr="00B744D0">
        <w:rPr>
          <w:sz w:val="22"/>
          <w:szCs w:val="22"/>
        </w:rPr>
        <w:t>actuelles</w:t>
      </w:r>
      <w:proofErr w:type="spellEnd"/>
      <w:r w:rsidRPr="00B744D0">
        <w:rPr>
          <w:sz w:val="22"/>
          <w:szCs w:val="22"/>
        </w:rPr>
        <w:t xml:space="preserve">, la </w:t>
      </w:r>
      <w:proofErr w:type="spellStart"/>
      <w:r w:rsidRPr="00B744D0">
        <w:rPr>
          <w:sz w:val="22"/>
          <w:szCs w:val="22"/>
        </w:rPr>
        <w:t>passation</w:t>
      </w:r>
      <w:proofErr w:type="spellEnd"/>
      <w:r w:rsidRPr="00B744D0">
        <w:rPr>
          <w:sz w:val="22"/>
          <w:szCs w:val="22"/>
        </w:rPr>
        <w:t xml:space="preserve"> de </w:t>
      </w:r>
      <w:proofErr w:type="spellStart"/>
      <w:r w:rsidRPr="00B744D0">
        <w:rPr>
          <w:sz w:val="22"/>
          <w:szCs w:val="22"/>
        </w:rPr>
        <w:t>marché</w:t>
      </w:r>
      <w:proofErr w:type="spellEnd"/>
      <w:r w:rsidRPr="00B744D0">
        <w:rPr>
          <w:sz w:val="22"/>
          <w:szCs w:val="22"/>
        </w:rPr>
        <w:t xml:space="preserve"> </w:t>
      </w:r>
      <w:proofErr w:type="spellStart"/>
      <w:r w:rsidRPr="00B744D0">
        <w:rPr>
          <w:sz w:val="22"/>
          <w:szCs w:val="22"/>
        </w:rPr>
        <w:t>peut</w:t>
      </w:r>
      <w:proofErr w:type="spellEnd"/>
      <w:r w:rsidRPr="00B744D0">
        <w:rPr>
          <w:sz w:val="22"/>
          <w:szCs w:val="22"/>
        </w:rPr>
        <w:t xml:space="preserve"> </w:t>
      </w:r>
      <w:proofErr w:type="spellStart"/>
      <w:r w:rsidRPr="00B744D0">
        <w:rPr>
          <w:sz w:val="22"/>
          <w:szCs w:val="22"/>
        </w:rPr>
        <w:t>être</w:t>
      </w:r>
      <w:proofErr w:type="spellEnd"/>
      <w:r w:rsidRPr="00B744D0">
        <w:rPr>
          <w:sz w:val="22"/>
          <w:szCs w:val="22"/>
        </w:rPr>
        <w:t xml:space="preserve"> </w:t>
      </w:r>
      <w:proofErr w:type="spellStart"/>
      <w:r w:rsidRPr="00B744D0" w:rsidR="00DF0ACC">
        <w:rPr>
          <w:sz w:val="22"/>
          <w:szCs w:val="22"/>
        </w:rPr>
        <w:t>lancée</w:t>
      </w:r>
      <w:proofErr w:type="spellEnd"/>
      <w:r w:rsidRPr="00B744D0" w:rsidR="00DF0ACC">
        <w:rPr>
          <w:sz w:val="22"/>
          <w:szCs w:val="22"/>
        </w:rPr>
        <w:t xml:space="preserve">, </w:t>
      </w:r>
      <w:r w:rsidRPr="00B744D0">
        <w:rPr>
          <w:sz w:val="22"/>
          <w:szCs w:val="22"/>
        </w:rPr>
        <w:t xml:space="preserve">et la livraison dans le pays </w:t>
      </w:r>
      <w:proofErr w:type="spellStart"/>
      <w:r>
        <w:rPr>
          <w:sz w:val="22"/>
          <w:szCs w:val="22"/>
        </w:rPr>
        <w:t>est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B744D0">
        <w:rPr>
          <w:sz w:val="22"/>
          <w:szCs w:val="22"/>
        </w:rPr>
        <w:t>prévue</w:t>
      </w:r>
      <w:proofErr w:type="spellEnd"/>
      <w:r w:rsidRPr="00B744D0">
        <w:rPr>
          <w:sz w:val="22"/>
          <w:szCs w:val="22"/>
        </w:rPr>
        <w:t xml:space="preserve"> au début du </w:t>
      </w:r>
      <w:proofErr w:type="spellStart"/>
      <w:r w:rsidRPr="00B744D0">
        <w:rPr>
          <w:sz w:val="22"/>
          <w:szCs w:val="22"/>
        </w:rPr>
        <w:t>deuxième</w:t>
      </w:r>
      <w:proofErr w:type="spellEnd"/>
      <w:r w:rsidRPr="00B744D0">
        <w:rPr>
          <w:sz w:val="22"/>
          <w:szCs w:val="22"/>
        </w:rPr>
        <w:t xml:space="preserve"> </w:t>
      </w:r>
      <w:proofErr w:type="spellStart"/>
      <w:r w:rsidRPr="00B744D0">
        <w:rPr>
          <w:sz w:val="22"/>
          <w:szCs w:val="22"/>
        </w:rPr>
        <w:t>trimestre</w:t>
      </w:r>
      <w:proofErr w:type="spellEnd"/>
      <w:r w:rsidRPr="00B744D0">
        <w:rPr>
          <w:sz w:val="22"/>
          <w:szCs w:val="22"/>
        </w:rPr>
        <w:t xml:space="preserve"> 2021 pour les pays </w:t>
      </w:r>
      <w:proofErr w:type="spellStart"/>
      <w:r w:rsidRPr="00B744D0">
        <w:rPr>
          <w:sz w:val="22"/>
          <w:szCs w:val="22"/>
        </w:rPr>
        <w:t>ayant</w:t>
      </w:r>
      <w:proofErr w:type="spellEnd"/>
      <w:r w:rsidRPr="00B744D0">
        <w:rPr>
          <w:sz w:val="22"/>
          <w:szCs w:val="22"/>
        </w:rPr>
        <w:t xml:space="preserve"> </w:t>
      </w:r>
      <w:proofErr w:type="spellStart"/>
      <w:r w:rsidRPr="00B744D0">
        <w:rPr>
          <w:sz w:val="22"/>
          <w:szCs w:val="22"/>
        </w:rPr>
        <w:t>adopté</w:t>
      </w:r>
      <w:proofErr w:type="spellEnd"/>
      <w:r w:rsidRPr="00B744D0">
        <w:rPr>
          <w:sz w:val="22"/>
          <w:szCs w:val="22"/>
        </w:rPr>
        <w:t xml:space="preserve"> la première version, et au-</w:t>
      </w:r>
      <w:proofErr w:type="spellStart"/>
      <w:r w:rsidRPr="00B744D0">
        <w:rPr>
          <w:sz w:val="22"/>
          <w:szCs w:val="22"/>
        </w:rPr>
        <w:t>delà</w:t>
      </w:r>
      <w:proofErr w:type="spellEnd"/>
      <w:r w:rsidRPr="00B744D0">
        <w:rPr>
          <w:sz w:val="22"/>
          <w:szCs w:val="22"/>
        </w:rPr>
        <w:t xml:space="preserve"> du </w:t>
      </w:r>
      <w:proofErr w:type="spellStart"/>
      <w:r w:rsidRPr="00B744D0">
        <w:rPr>
          <w:sz w:val="22"/>
          <w:szCs w:val="22"/>
        </w:rPr>
        <w:t>deuxième</w:t>
      </w:r>
      <w:proofErr w:type="spellEnd"/>
      <w:r w:rsidRPr="00B744D0">
        <w:rPr>
          <w:sz w:val="22"/>
          <w:szCs w:val="22"/>
        </w:rPr>
        <w:t xml:space="preserve"> </w:t>
      </w:r>
      <w:proofErr w:type="spellStart"/>
      <w:r w:rsidRPr="00B744D0">
        <w:rPr>
          <w:sz w:val="22"/>
          <w:szCs w:val="22"/>
        </w:rPr>
        <w:t>trimestre</w:t>
      </w:r>
      <w:proofErr w:type="spellEnd"/>
      <w:r w:rsidRPr="00B744D0">
        <w:rPr>
          <w:sz w:val="22"/>
          <w:szCs w:val="22"/>
        </w:rPr>
        <w:t xml:space="preserve"> 2021 dans </w:t>
      </w:r>
      <w:proofErr w:type="spellStart"/>
      <w:r w:rsidRPr="00B744D0">
        <w:rPr>
          <w:sz w:val="22"/>
          <w:szCs w:val="22"/>
        </w:rPr>
        <w:t>tous</w:t>
      </w:r>
      <w:proofErr w:type="spellEnd"/>
      <w:r w:rsidRPr="00B744D0">
        <w:rPr>
          <w:sz w:val="22"/>
          <w:szCs w:val="22"/>
        </w:rPr>
        <w:t xml:space="preserve"> les </w:t>
      </w:r>
      <w:proofErr w:type="spellStart"/>
      <w:r w:rsidRPr="00B744D0">
        <w:rPr>
          <w:sz w:val="22"/>
          <w:szCs w:val="22"/>
        </w:rPr>
        <w:t>autres</w:t>
      </w:r>
      <w:proofErr w:type="spellEnd"/>
      <w:r w:rsidRPr="00B744D0">
        <w:rPr>
          <w:sz w:val="22"/>
          <w:szCs w:val="22"/>
        </w:rPr>
        <w:t xml:space="preserve"> pays qui </w:t>
      </w:r>
      <w:proofErr w:type="spellStart"/>
      <w:r w:rsidRPr="00B744D0">
        <w:rPr>
          <w:sz w:val="22"/>
          <w:szCs w:val="22"/>
        </w:rPr>
        <w:t>dépendent</w:t>
      </w:r>
      <w:proofErr w:type="spellEnd"/>
      <w:r w:rsidRPr="00B744D0">
        <w:rPr>
          <w:sz w:val="22"/>
          <w:szCs w:val="22"/>
        </w:rPr>
        <w:t xml:space="preserve"> du </w:t>
      </w:r>
      <w:r w:rsidRPr="00CF58E2">
        <w:rPr>
          <w:sz w:val="22"/>
          <w:szCs w:val="22"/>
        </w:rPr>
        <w:t xml:space="preserve">Fonds </w:t>
      </w:r>
      <w:proofErr w:type="spellStart"/>
      <w:r w:rsidRPr="00CF58E2">
        <w:rPr>
          <w:sz w:val="22"/>
          <w:szCs w:val="22"/>
        </w:rPr>
        <w:t>mondial</w:t>
      </w:r>
      <w:proofErr w:type="spellEnd"/>
      <w:r w:rsidRPr="00CF58E2">
        <w:rPr>
          <w:sz w:val="22"/>
          <w:szCs w:val="22"/>
        </w:rPr>
        <w:t xml:space="preserve"> de </w:t>
      </w:r>
      <w:proofErr w:type="spellStart"/>
      <w:r w:rsidRPr="00CF58E2">
        <w:rPr>
          <w:sz w:val="22"/>
          <w:szCs w:val="22"/>
        </w:rPr>
        <w:t>lutte</w:t>
      </w:r>
      <w:proofErr w:type="spellEnd"/>
      <w:r w:rsidRPr="00CF58E2">
        <w:rPr>
          <w:sz w:val="22"/>
          <w:szCs w:val="22"/>
        </w:rPr>
        <w:t xml:space="preserve"> </w:t>
      </w:r>
      <w:proofErr w:type="spellStart"/>
      <w:r w:rsidRPr="00CF58E2">
        <w:rPr>
          <w:sz w:val="22"/>
          <w:szCs w:val="22"/>
        </w:rPr>
        <w:t>contre</w:t>
      </w:r>
      <w:proofErr w:type="spellEnd"/>
      <w:r w:rsidRPr="00CF58E2">
        <w:rPr>
          <w:sz w:val="22"/>
          <w:szCs w:val="22"/>
        </w:rPr>
        <w:t xml:space="preserve"> le </w:t>
      </w:r>
      <w:r w:rsidRPr="00CF58E2">
        <w:rPr>
          <w:sz w:val="22"/>
          <w:szCs w:val="22"/>
        </w:rPr>
        <w:t>sida</w:t>
      </w:r>
      <w:r w:rsidRPr="00CF58E2">
        <w:rPr>
          <w:sz w:val="22"/>
          <w:szCs w:val="22"/>
        </w:rPr>
        <w:t xml:space="preserve">, la </w:t>
      </w:r>
      <w:proofErr w:type="spellStart"/>
      <w:r w:rsidRPr="00CF58E2">
        <w:rPr>
          <w:sz w:val="22"/>
          <w:szCs w:val="22"/>
        </w:rPr>
        <w:t>tuberculose</w:t>
      </w:r>
      <w:proofErr w:type="spellEnd"/>
      <w:r w:rsidRPr="00CF58E2">
        <w:rPr>
          <w:sz w:val="22"/>
          <w:szCs w:val="22"/>
        </w:rPr>
        <w:t xml:space="preserve"> et le </w:t>
      </w:r>
      <w:proofErr w:type="spellStart"/>
      <w:r w:rsidRPr="00CF58E2">
        <w:rPr>
          <w:sz w:val="22"/>
          <w:szCs w:val="22"/>
        </w:rPr>
        <w:t>paludisme</w:t>
      </w:r>
      <w:proofErr w:type="spellEnd"/>
      <w:r w:rsidRPr="00CF58E2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B744D0">
        <w:rPr>
          <w:sz w:val="22"/>
          <w:szCs w:val="22"/>
        </w:rPr>
        <w:t xml:space="preserve">Fonds </w:t>
      </w:r>
      <w:proofErr w:type="spellStart"/>
      <w:r w:rsidRPr="00B744D0">
        <w:rPr>
          <w:sz w:val="22"/>
          <w:szCs w:val="22"/>
        </w:rPr>
        <w:t>mondial</w:t>
      </w:r>
      <w:proofErr w:type="spellEnd"/>
      <w:r>
        <w:rPr>
          <w:sz w:val="22"/>
          <w:szCs w:val="22"/>
        </w:rPr>
        <w:t>)</w:t>
      </w:r>
      <w:r w:rsidRPr="00923A21">
        <w:rPr>
          <w:sz w:val="22"/>
          <w:szCs w:val="22"/>
        </w:rPr>
        <w:t xml:space="preserve">, du PEPFAR, et du </w:t>
      </w:r>
      <w:proofErr w:type="spellStart"/>
      <w:r w:rsidRPr="00923A21">
        <w:rPr>
          <w:sz w:val="22"/>
          <w:szCs w:val="22"/>
        </w:rPr>
        <w:t>financement</w:t>
      </w:r>
      <w:proofErr w:type="spellEnd"/>
      <w:r w:rsidRPr="00923A21">
        <w:rPr>
          <w:sz w:val="22"/>
          <w:szCs w:val="22"/>
        </w:rPr>
        <w:t xml:space="preserve"> national pour la </w:t>
      </w:r>
      <w:proofErr w:type="spellStart"/>
      <w:r w:rsidRPr="00923A21">
        <w:rPr>
          <w:sz w:val="22"/>
          <w:szCs w:val="22"/>
        </w:rPr>
        <w:t>passation</w:t>
      </w:r>
      <w:proofErr w:type="spellEnd"/>
      <w:r w:rsidRPr="00923A21">
        <w:rPr>
          <w:sz w:val="22"/>
          <w:szCs w:val="22"/>
        </w:rPr>
        <w:t xml:space="preserve"> de </w:t>
      </w:r>
      <w:proofErr w:type="spellStart"/>
      <w:r w:rsidRPr="00923A21">
        <w:rPr>
          <w:sz w:val="22"/>
          <w:szCs w:val="22"/>
        </w:rPr>
        <w:t>marché</w:t>
      </w:r>
      <w:proofErr w:type="spellEnd"/>
      <w:r w:rsidRPr="00923A21">
        <w:rPr>
          <w:sz w:val="22"/>
          <w:szCs w:val="22"/>
        </w:rPr>
        <w:t xml:space="preserve"> des ARV. </w:t>
      </w:r>
      <w:r w:rsidRPr="00C53AE0">
        <w:rPr>
          <w:sz w:val="22"/>
          <w:szCs w:val="22"/>
        </w:rPr>
        <w:t>Cette</w:t>
      </w:r>
      <w:r w:rsidRPr="00C53AE0">
        <w:rPr>
          <w:sz w:val="22"/>
          <w:szCs w:val="22"/>
        </w:rPr>
        <w:t xml:space="preserve"> nouvelle formulation </w:t>
      </w:r>
      <w:proofErr w:type="spellStart"/>
      <w:r w:rsidRPr="00C53AE0">
        <w:rPr>
          <w:sz w:val="22"/>
          <w:szCs w:val="22"/>
        </w:rPr>
        <w:t>générique</w:t>
      </w:r>
      <w:proofErr w:type="spellEnd"/>
      <w:r w:rsidRPr="00C53AE0">
        <w:rPr>
          <w:sz w:val="22"/>
          <w:szCs w:val="22"/>
        </w:rPr>
        <w:t xml:space="preserve"> </w:t>
      </w:r>
      <w:proofErr w:type="spellStart"/>
      <w:r w:rsidRPr="00C53AE0">
        <w:rPr>
          <w:sz w:val="22"/>
          <w:szCs w:val="22"/>
        </w:rPr>
        <w:t>débloque</w:t>
      </w:r>
      <w:proofErr w:type="spellEnd"/>
      <w:r w:rsidRPr="00C53AE0">
        <w:rPr>
          <w:sz w:val="22"/>
          <w:szCs w:val="22"/>
        </w:rPr>
        <w:t xml:space="preserve"> </w:t>
      </w:r>
      <w:proofErr w:type="spellStart"/>
      <w:r w:rsidRPr="00C53AE0">
        <w:rPr>
          <w:sz w:val="22"/>
          <w:szCs w:val="22"/>
        </w:rPr>
        <w:t>l'accès</w:t>
      </w:r>
      <w:proofErr w:type="spellEnd"/>
      <w:r w:rsidRPr="00C53AE0">
        <w:rPr>
          <w:sz w:val="22"/>
          <w:szCs w:val="22"/>
        </w:rPr>
        <w:t xml:space="preserve"> à la DTG pour les CLHIV </w:t>
      </w:r>
      <w:proofErr w:type="spellStart"/>
      <w:r w:rsidRPr="00C53AE0">
        <w:rPr>
          <w:sz w:val="22"/>
          <w:szCs w:val="22"/>
        </w:rPr>
        <w:t>âgés</w:t>
      </w:r>
      <w:proofErr w:type="spellEnd"/>
      <w:r w:rsidRPr="00C53AE0">
        <w:rPr>
          <w:sz w:val="22"/>
          <w:szCs w:val="22"/>
        </w:rPr>
        <w:t xml:space="preserve"> </w:t>
      </w:r>
      <w:proofErr w:type="spellStart"/>
      <w:r w:rsidRPr="00C53AE0">
        <w:rPr>
          <w:sz w:val="22"/>
          <w:szCs w:val="22"/>
        </w:rPr>
        <w:t>d'au</w:t>
      </w:r>
      <w:proofErr w:type="spellEnd"/>
      <w:r w:rsidRPr="00C53AE0">
        <w:rPr>
          <w:sz w:val="22"/>
          <w:szCs w:val="22"/>
        </w:rPr>
        <w:t xml:space="preserve"> </w:t>
      </w:r>
      <w:proofErr w:type="spellStart"/>
      <w:r w:rsidRPr="00C53AE0">
        <w:rPr>
          <w:sz w:val="22"/>
          <w:szCs w:val="22"/>
        </w:rPr>
        <w:t>moins</w:t>
      </w:r>
      <w:proofErr w:type="spellEnd"/>
      <w:r w:rsidRPr="00C53A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4 </w:t>
      </w:r>
      <w:proofErr w:type="spellStart"/>
      <w:r w:rsidRPr="00C53AE0">
        <w:rPr>
          <w:sz w:val="22"/>
          <w:szCs w:val="22"/>
        </w:rPr>
        <w:t>semaines</w:t>
      </w:r>
      <w:proofErr w:type="spellEnd"/>
      <w:r w:rsidRPr="00C53AE0">
        <w:rPr>
          <w:sz w:val="22"/>
          <w:szCs w:val="22"/>
        </w:rPr>
        <w:t xml:space="preserve"> et </w:t>
      </w:r>
      <w:proofErr w:type="spellStart"/>
      <w:r w:rsidRPr="00C53AE0">
        <w:rPr>
          <w:sz w:val="22"/>
          <w:szCs w:val="22"/>
        </w:rPr>
        <w:t>pesant</w:t>
      </w:r>
      <w:proofErr w:type="spellEnd"/>
      <w:r w:rsidRPr="00C53AE0">
        <w:rPr>
          <w:sz w:val="22"/>
          <w:szCs w:val="22"/>
        </w:rPr>
        <w:t xml:space="preserve"> </w:t>
      </w:r>
      <w:proofErr w:type="spellStart"/>
      <w:r w:rsidRPr="00C53AE0">
        <w:rPr>
          <w:sz w:val="22"/>
          <w:szCs w:val="22"/>
        </w:rPr>
        <w:t>moins</w:t>
      </w:r>
      <w:proofErr w:type="spellEnd"/>
      <w:r w:rsidRPr="00C53AE0">
        <w:rPr>
          <w:sz w:val="22"/>
          <w:szCs w:val="22"/>
        </w:rPr>
        <w:t xml:space="preserve"> de 20 kg. La note de politique </w:t>
      </w:r>
      <w:proofErr w:type="spellStart"/>
      <w:r w:rsidRPr="00C53AE0">
        <w:rPr>
          <w:sz w:val="22"/>
          <w:szCs w:val="22"/>
        </w:rPr>
        <w:t>générale</w:t>
      </w:r>
      <w:proofErr w:type="spellEnd"/>
      <w:r w:rsidRPr="00C53AE0">
        <w:rPr>
          <w:sz w:val="22"/>
          <w:szCs w:val="22"/>
        </w:rPr>
        <w:t xml:space="preserve"> de </w:t>
      </w:r>
      <w:proofErr w:type="spellStart"/>
      <w:r w:rsidRPr="00C53AE0">
        <w:rPr>
          <w:sz w:val="22"/>
          <w:szCs w:val="22"/>
        </w:rPr>
        <w:t>l'OMS</w:t>
      </w:r>
      <w:proofErr w:type="spellEnd"/>
      <w:r w:rsidRPr="00C53AE0">
        <w:rPr>
          <w:sz w:val="22"/>
          <w:szCs w:val="22"/>
        </w:rPr>
        <w:t xml:space="preserve"> pour 2020 a </w:t>
      </w:r>
      <w:proofErr w:type="spellStart"/>
      <w:r w:rsidRPr="00C53AE0">
        <w:rPr>
          <w:sz w:val="22"/>
          <w:szCs w:val="22"/>
        </w:rPr>
        <w:t>inclus</w:t>
      </w:r>
      <w:proofErr w:type="spellEnd"/>
      <w:r w:rsidRPr="00C53AE0">
        <w:rPr>
          <w:sz w:val="22"/>
          <w:szCs w:val="22"/>
        </w:rPr>
        <w:t xml:space="preserve"> pour la première </w:t>
      </w:r>
      <w:proofErr w:type="spellStart"/>
      <w:r w:rsidRPr="00C53AE0">
        <w:rPr>
          <w:sz w:val="22"/>
          <w:szCs w:val="22"/>
        </w:rPr>
        <w:t>fois</w:t>
      </w:r>
      <w:proofErr w:type="spellEnd"/>
      <w:r w:rsidRPr="00C53AE0">
        <w:rPr>
          <w:sz w:val="22"/>
          <w:szCs w:val="22"/>
        </w:rPr>
        <w:t xml:space="preserve"> le dosage de la DTG pour les enfants de </w:t>
      </w:r>
      <w:proofErr w:type="spellStart"/>
      <w:r w:rsidRPr="00C53AE0">
        <w:rPr>
          <w:sz w:val="22"/>
          <w:szCs w:val="22"/>
        </w:rPr>
        <w:t>moins</w:t>
      </w:r>
      <w:proofErr w:type="spellEnd"/>
      <w:r w:rsidRPr="00C53AE0">
        <w:rPr>
          <w:sz w:val="22"/>
          <w:szCs w:val="22"/>
        </w:rPr>
        <w:t xml:space="preserve"> de 20 kg (</w:t>
      </w:r>
      <w:proofErr w:type="spellStart"/>
      <w:r w:rsidRPr="00C53AE0">
        <w:rPr>
          <w:sz w:val="22"/>
          <w:szCs w:val="22"/>
        </w:rPr>
        <w:t>voir</w:t>
      </w:r>
      <w:proofErr w:type="spellEnd"/>
      <w:r w:rsidRPr="00C53AE0">
        <w:rPr>
          <w:sz w:val="22"/>
          <w:szCs w:val="22"/>
        </w:rPr>
        <w:t xml:space="preserve"> tableau 3)</w:t>
      </w:r>
      <w:r>
        <w:rPr>
          <w:sz w:val="22"/>
          <w:szCs w:val="22"/>
        </w:rPr>
        <w:t xml:space="preserve">. </w:t>
      </w:r>
    </w:p>
    <w:p w:rsidR="000B6B8D" w:rsidP="00370DC1" w:rsidRDefault="000B6B8D" w14:paraId="5D92A75D" w14:textId="77777777">
      <w:pPr>
        <w:spacing w:after="0"/>
        <w:jc w:val="center"/>
        <w:rPr>
          <w:b/>
          <w:bCs/>
          <w:lang w:val="en-GB"/>
        </w:rPr>
      </w:pPr>
    </w:p>
    <w:p w:rsidR="000B6B8D" w:rsidP="00370DC1" w:rsidRDefault="000B6B8D" w14:paraId="445C8D57" w14:textId="77777777">
      <w:pPr>
        <w:spacing w:after="0"/>
        <w:jc w:val="center"/>
        <w:rPr>
          <w:b/>
          <w:bCs/>
          <w:lang w:val="en-GB"/>
        </w:rPr>
      </w:pPr>
    </w:p>
    <w:p w:rsidRPr="00C53AE0" w:rsidR="00DE442E" w:rsidP="00370DC1" w:rsidRDefault="00DE442E" w14:paraId="57BD7BE0" w14:textId="5E2B760C">
      <w:pPr>
        <w:spacing w:after="0"/>
        <w:jc w:val="center"/>
        <w:rPr>
          <w:bCs/>
          <w:lang w:val="en-GB"/>
        </w:rPr>
      </w:pPr>
      <w:r w:rsidRPr="00C53AE0">
        <w:rPr>
          <w:b/>
          <w:bCs/>
          <w:lang w:val="en-GB"/>
        </w:rPr>
        <w:lastRenderedPageBreak/>
        <w:t xml:space="preserve">Tableau 2 </w:t>
      </w:r>
      <w:r w:rsidRPr="00C53AE0">
        <w:rPr>
          <w:lang w:val="en-GB"/>
        </w:rPr>
        <w:t xml:space="preserve">: </w:t>
      </w:r>
      <w:r w:rsidRPr="00C53AE0">
        <w:rPr>
          <w:bCs/>
          <w:lang w:val="en-GB"/>
        </w:rPr>
        <w:t xml:space="preserve">Formulations de DTG pour </w:t>
      </w:r>
      <w:proofErr w:type="spellStart"/>
      <w:r w:rsidRPr="00C53AE0">
        <w:rPr>
          <w:bCs/>
          <w:lang w:val="en-GB"/>
        </w:rPr>
        <w:t>tous</w:t>
      </w:r>
      <w:proofErr w:type="spellEnd"/>
      <w:r w:rsidRPr="00C53AE0">
        <w:rPr>
          <w:bCs/>
          <w:lang w:val="en-GB"/>
        </w:rPr>
        <w:t xml:space="preserve"> les enfants à </w:t>
      </w:r>
      <w:proofErr w:type="spellStart"/>
      <w:r w:rsidRPr="00C53AE0">
        <w:rPr>
          <w:bCs/>
          <w:lang w:val="en-GB"/>
        </w:rPr>
        <w:t>partir</w:t>
      </w:r>
      <w:proofErr w:type="spellEnd"/>
      <w:r w:rsidRPr="00C53AE0">
        <w:rPr>
          <w:bCs/>
          <w:lang w:val="en-GB"/>
        </w:rPr>
        <w:t xml:space="preserve"> de 4 </w:t>
      </w:r>
      <w:proofErr w:type="spellStart"/>
      <w:r w:rsidRPr="00C53AE0">
        <w:rPr>
          <w:bCs/>
          <w:lang w:val="en-GB"/>
        </w:rPr>
        <w:t>semaines</w:t>
      </w:r>
      <w:proofErr w:type="spellEnd"/>
    </w:p>
    <w:tbl>
      <w:tblPr>
        <w:tblW w:w="7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48"/>
        <w:gridCol w:w="6066"/>
      </w:tblGrid>
      <w:tr w:rsidRPr="00C53AE0" w:rsidR="00DE442E" w:rsidTr="006A5DDB" w14:paraId="63B9BAA9" w14:textId="77777777">
        <w:trPr>
          <w:trHeight w:val="20"/>
          <w:jc w:val="center"/>
        </w:trPr>
        <w:tc>
          <w:tcPr>
            <w:tcW w:w="1448" w:type="dxa"/>
            <w:shd w:val="clear" w:color="auto" w:fill="244061" w:themeFill="accent1" w:themeFillShade="80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C53AE0" w:rsidR="00DE442E" w:rsidP="00370DC1" w:rsidRDefault="00DE442E" w14:paraId="1B462F0C" w14:textId="77777777">
            <w:pPr>
              <w:spacing w:after="0"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proofErr w:type="spellStart"/>
            <w:r w:rsidRPr="00C53AE0">
              <w:rPr>
                <w:rFonts w:hAnsi="Calibri" w:eastAsia="Arial" w:cs="Arial"/>
                <w:b/>
                <w:color w:val="FFFFFF" w:themeColor="background1"/>
                <w:kern w:val="24"/>
                <w:sz w:val="20"/>
                <w:szCs w:val="20"/>
                <w:lang w:val="en-GB" w:eastAsia="en-GB"/>
              </w:rPr>
              <w:t>Poids</w:t>
            </w:r>
            <w:proofErr w:type="spellEnd"/>
          </w:p>
        </w:tc>
        <w:tc>
          <w:tcPr>
            <w:tcW w:w="6066" w:type="dxa"/>
            <w:shd w:val="clear" w:color="auto" w:fill="244061" w:themeFill="accent1" w:themeFillShade="80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C53AE0" w:rsidR="00DE442E" w:rsidP="00370DC1" w:rsidRDefault="00DE442E" w14:paraId="6E879DB2" w14:textId="77777777">
            <w:pPr>
              <w:spacing w:after="0"/>
              <w:rPr>
                <w:rFonts w:ascii="Arial" w:hAnsi="Arial" w:eastAsia="Times New Roman" w:cs="Arial"/>
                <w:b/>
                <w:bCs/>
                <w:color w:val="FFFFFF" w:themeColor="background1"/>
                <w:sz w:val="20"/>
                <w:szCs w:val="20"/>
                <w:lang w:val="en-GB" w:eastAsia="en-GB"/>
              </w:rPr>
            </w:pPr>
            <w:r w:rsidRPr="00C53AE0">
              <w:rPr>
                <w:rFonts w:hAnsi="Calibri" w:eastAsia="Arial" w:cs="Arial"/>
                <w:b/>
                <w:bCs/>
                <w:color w:val="FFFFFF" w:themeColor="background1"/>
                <w:kern w:val="24"/>
                <w:sz w:val="20"/>
                <w:szCs w:val="20"/>
                <w:lang w:val="en-GB" w:eastAsia="en-GB"/>
              </w:rPr>
              <w:t xml:space="preserve">Formulation </w:t>
            </w:r>
            <w:proofErr w:type="spellStart"/>
            <w:r w:rsidRPr="00C53AE0">
              <w:rPr>
                <w:rFonts w:hAnsi="Calibri" w:eastAsia="Arial" w:cs="Arial"/>
                <w:b/>
                <w:bCs/>
                <w:color w:val="FFFFFF" w:themeColor="background1"/>
                <w:kern w:val="24"/>
                <w:sz w:val="20"/>
                <w:szCs w:val="20"/>
                <w:lang w:val="en-GB" w:eastAsia="en-GB"/>
              </w:rPr>
              <w:t>recommandée</w:t>
            </w:r>
            <w:proofErr w:type="spellEnd"/>
            <w:r w:rsidRPr="00C53AE0">
              <w:rPr>
                <w:rFonts w:hAnsi="Calibri" w:eastAsia="Arial" w:cs="Arial"/>
                <w:b/>
                <w:bCs/>
                <w:color w:val="FFFFFF" w:themeColor="background1"/>
                <w:kern w:val="24"/>
                <w:sz w:val="20"/>
                <w:szCs w:val="20"/>
                <w:lang w:val="en-GB" w:eastAsia="en-GB"/>
              </w:rPr>
              <w:t xml:space="preserve"> par </w:t>
            </w:r>
            <w:proofErr w:type="spellStart"/>
            <w:r w:rsidRPr="00C53AE0">
              <w:rPr>
                <w:rFonts w:hAnsi="Calibri" w:eastAsia="Arial" w:cs="Arial"/>
                <w:b/>
                <w:bCs/>
                <w:color w:val="FFFFFF" w:themeColor="background1"/>
                <w:kern w:val="24"/>
                <w:sz w:val="20"/>
                <w:szCs w:val="20"/>
                <w:lang w:val="en-GB" w:eastAsia="en-GB"/>
              </w:rPr>
              <w:t>l'OMS</w:t>
            </w:r>
            <w:proofErr w:type="spellEnd"/>
          </w:p>
        </w:tc>
      </w:tr>
      <w:tr w:rsidRPr="00C53AE0" w:rsidR="00DE442E" w:rsidTr="006A5DDB" w14:paraId="6E37AFCD" w14:textId="77777777">
        <w:trPr>
          <w:trHeight w:val="237"/>
          <w:jc w:val="center"/>
        </w:trPr>
        <w:tc>
          <w:tcPr>
            <w:tcW w:w="1448" w:type="dxa"/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:rsidRPr="00B635D6" w:rsidR="00DE442E" w:rsidP="00370DC1" w:rsidRDefault="00DE442E" w14:paraId="673ACF1E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B635D6">
              <w:rPr>
                <w:rFonts w:hAnsi="Calibri" w:eastAsia="Calibri" w:cs="Calibri" w:asciiTheme="minorHAnsi"/>
                <w:color w:val="000000" w:themeColor="text1"/>
                <w:kern w:val="24"/>
                <w:sz w:val="18"/>
                <w:szCs w:val="18"/>
              </w:rPr>
              <w:t>&lt; 20 kg</w:t>
            </w:r>
          </w:p>
        </w:tc>
        <w:tc>
          <w:tcPr>
            <w:tcW w:w="6066" w:type="dxa"/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B635D6" w:rsidR="00DE442E" w:rsidP="00370DC1" w:rsidRDefault="00DE442E" w14:paraId="5628970D" w14:textId="77777777">
            <w:pPr>
              <w:pStyle w:val="NormalWeb"/>
              <w:spacing w:before="60" w:beforeAutospacing="0" w:after="6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B635D6">
              <w:rPr>
                <w:rFonts w:hAnsi="Calibri" w:eastAsia="Calibri" w:cs="Calibri" w:asciiTheme="minorHAnsi"/>
                <w:color w:val="000000" w:themeColor="text1"/>
                <w:kern w:val="24"/>
                <w:sz w:val="18"/>
                <w:szCs w:val="18"/>
              </w:rPr>
              <w:t xml:space="preserve">ABC/3TC (120/60 mg) dispersible double </w:t>
            </w:r>
            <w:r w:rsidRPr="00B635D6">
              <w:rPr>
                <w:rFonts w:hAnsi="Calibri" w:eastAsia="Calibri" w:cs="Calibri" w:asciiTheme="minorHAnsi"/>
                <w:b/>
                <w:bCs/>
                <w:color w:val="000000" w:themeColor="text1"/>
                <w:kern w:val="24"/>
                <w:sz w:val="18"/>
                <w:szCs w:val="18"/>
              </w:rPr>
              <w:t xml:space="preserve">+ DTG 10 mg dispersible </w:t>
            </w:r>
            <w:proofErr w:type="spellStart"/>
            <w:r w:rsidRPr="00B635D6">
              <w:rPr>
                <w:rFonts w:hAnsi="Calibri" w:eastAsia="Calibri" w:cs="Calibri" w:asciiTheme="minorHAnsi"/>
                <w:b/>
                <w:bCs/>
                <w:color w:val="000000" w:themeColor="text1"/>
                <w:kern w:val="24"/>
                <w:sz w:val="18"/>
                <w:szCs w:val="18"/>
              </w:rPr>
              <w:t>marqué</w:t>
            </w:r>
            <w:proofErr w:type="spellEnd"/>
          </w:p>
        </w:tc>
      </w:tr>
      <w:tr w:rsidRPr="00C53AE0" w:rsidR="00DE442E" w:rsidTr="006A5DDB" w14:paraId="3EA677B8" w14:textId="77777777">
        <w:trPr>
          <w:trHeight w:val="20"/>
          <w:jc w:val="center"/>
        </w:trPr>
        <w:tc>
          <w:tcPr>
            <w:tcW w:w="1448" w:type="dxa"/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:rsidRPr="00B635D6" w:rsidR="00DE442E" w:rsidP="00370DC1" w:rsidRDefault="00DE442E" w14:paraId="696042C2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B635D6">
              <w:rPr>
                <w:rFonts w:hAnsi="Calibri" w:eastAsia="Calibri" w:cs="Calibri" w:asciiTheme="minorHAnsi"/>
                <w:color w:val="000000" w:themeColor="text1"/>
                <w:kern w:val="24"/>
                <w:sz w:val="18"/>
                <w:szCs w:val="18"/>
              </w:rPr>
              <w:t>20 à 24,9 kg*</w:t>
            </w:r>
          </w:p>
        </w:tc>
        <w:tc>
          <w:tcPr>
            <w:tcW w:w="6066" w:type="dxa"/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B635D6" w:rsidR="00DE442E" w:rsidP="00370DC1" w:rsidRDefault="00DE442E" w14:paraId="2CEDECE9" w14:textId="77777777">
            <w:pPr>
              <w:pStyle w:val="NormalWeb"/>
              <w:spacing w:before="60" w:beforeAutospacing="0" w:after="6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B635D6">
              <w:rPr>
                <w:rFonts w:hAnsi="Calibri" w:eastAsia="Calibri" w:cs="Calibri" w:asciiTheme="minorHAnsi"/>
                <w:color w:val="000000" w:themeColor="text1"/>
                <w:kern w:val="24"/>
                <w:sz w:val="18"/>
                <w:szCs w:val="18"/>
              </w:rPr>
              <w:t xml:space="preserve">ABC/3TC (120/60 mg) dispersible double </w:t>
            </w:r>
            <w:r w:rsidRPr="00B635D6">
              <w:rPr>
                <w:rFonts w:hAnsi="Calibri" w:eastAsia="Calibri" w:cs="Calibri" w:asciiTheme="minorHAnsi"/>
                <w:b/>
                <w:bCs/>
                <w:color w:val="000000" w:themeColor="text1"/>
                <w:kern w:val="24"/>
                <w:sz w:val="18"/>
                <w:szCs w:val="18"/>
              </w:rPr>
              <w:t xml:space="preserve">+ </w:t>
            </w:r>
            <w:r w:rsidRPr="0040125E">
              <w:rPr>
                <w:rFonts w:hAnsi="Calibri" w:eastAsia="Calibri" w:cs="Calibri" w:asciiTheme="minorHAnsi"/>
                <w:b/>
                <w:bCs/>
                <w:color w:val="000000" w:themeColor="text1"/>
                <w:kern w:val="24"/>
                <w:sz w:val="18"/>
                <w:szCs w:val="18"/>
              </w:rPr>
              <w:t>DTG 50 mg simple</w:t>
            </w:r>
          </w:p>
        </w:tc>
      </w:tr>
      <w:tr w:rsidRPr="00C53AE0" w:rsidR="00DE442E" w:rsidTr="006A5DDB" w14:paraId="5821F64C" w14:textId="77777777">
        <w:trPr>
          <w:trHeight w:val="20"/>
          <w:jc w:val="center"/>
        </w:trPr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:rsidRPr="00B635D6" w:rsidR="00DE442E" w:rsidP="00370DC1" w:rsidRDefault="00DE442E" w14:paraId="134B95DA" w14:textId="77777777">
            <w:pPr>
              <w:pStyle w:val="NormalWeb"/>
              <w:spacing w:before="0" w:beforeAutospacing="0" w:after="0" w:afterAutospacing="0" w:line="276" w:lineRule="auto"/>
              <w:rPr>
                <w:rFonts w:hAnsi="Calibri" w:eastAsia="Calibri" w:cs="Calibri" w:asciiTheme="minorHAnsi"/>
                <w:color w:val="000000" w:themeColor="text1"/>
                <w:kern w:val="24"/>
                <w:sz w:val="18"/>
                <w:szCs w:val="18"/>
              </w:rPr>
            </w:pPr>
            <w:r w:rsidRPr="00B635D6">
              <w:rPr>
                <w:rFonts w:hAnsi="Calibri" w:eastAsia="Calibri" w:cs="Calibri" w:asciiTheme="minorHAnsi"/>
                <w:color w:val="000000" w:themeColor="text1"/>
                <w:kern w:val="24"/>
                <w:sz w:val="18"/>
                <w:szCs w:val="18"/>
              </w:rPr>
              <w:t>25 à 29,9 kg</w:t>
            </w:r>
          </w:p>
        </w:tc>
        <w:tc>
          <w:tcPr>
            <w:tcW w:w="6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B635D6" w:rsidR="00DE442E" w:rsidP="00370DC1" w:rsidRDefault="00DE442E" w14:paraId="55C09506" w14:textId="77777777">
            <w:pPr>
              <w:pStyle w:val="NormalWeb"/>
              <w:spacing w:before="60" w:beforeAutospacing="0" w:after="60" w:afterAutospacing="0" w:line="276" w:lineRule="auto"/>
              <w:rPr>
                <w:rFonts w:hAnsi="Calibri" w:eastAsia="Calibri" w:cs="Calibri" w:asciiTheme="minorHAnsi"/>
                <w:color w:val="000000" w:themeColor="text1"/>
                <w:kern w:val="24"/>
                <w:sz w:val="18"/>
                <w:szCs w:val="18"/>
              </w:rPr>
            </w:pPr>
            <w:r w:rsidRPr="00B635D6">
              <w:rPr>
                <w:rFonts w:hAnsi="Calibri" w:eastAsia="Calibri" w:cs="Calibri" w:asciiTheme="minorHAnsi"/>
                <w:color w:val="000000" w:themeColor="text1"/>
                <w:kern w:val="24"/>
                <w:sz w:val="18"/>
                <w:szCs w:val="18"/>
              </w:rPr>
              <w:t xml:space="preserve">ABC/3TC (600/300 mg) double + </w:t>
            </w:r>
            <w:r w:rsidRPr="0040125E">
              <w:rPr>
                <w:rFonts w:hAnsi="Calibri" w:eastAsia="Calibri" w:cs="Calibri" w:asciiTheme="minorHAnsi"/>
                <w:b/>
                <w:bCs/>
                <w:color w:val="000000" w:themeColor="text1"/>
                <w:kern w:val="24"/>
                <w:sz w:val="18"/>
                <w:szCs w:val="18"/>
              </w:rPr>
              <w:t>DTG 50 mg simple</w:t>
            </w:r>
          </w:p>
        </w:tc>
      </w:tr>
      <w:tr w:rsidRPr="00C53AE0" w:rsidR="00DE442E" w:rsidTr="006A5DDB" w14:paraId="626A8248" w14:textId="77777777">
        <w:trPr>
          <w:trHeight w:val="20"/>
          <w:jc w:val="center"/>
        </w:trPr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:rsidRPr="00B635D6" w:rsidR="00DE442E" w:rsidP="00370DC1" w:rsidRDefault="00DE442E" w14:paraId="29F2A9C3" w14:textId="77777777">
            <w:pPr>
              <w:pStyle w:val="NormalWeb"/>
              <w:spacing w:before="0" w:beforeAutospacing="0" w:after="0" w:afterAutospacing="0" w:line="276" w:lineRule="auto"/>
              <w:rPr>
                <w:rFonts w:hAnsi="Calibri" w:eastAsia="Calibri" w:cs="Calibri" w:asciiTheme="minorHAnsi"/>
                <w:color w:val="000000" w:themeColor="text1"/>
                <w:kern w:val="24"/>
                <w:sz w:val="18"/>
                <w:szCs w:val="18"/>
              </w:rPr>
            </w:pPr>
            <w:r w:rsidRPr="00B635D6">
              <w:rPr>
                <w:rFonts w:hAnsi="Calibri" w:eastAsia="Calibri" w:cs="Calibri" w:asciiTheme="minorHAnsi"/>
                <w:color w:val="000000" w:themeColor="text1"/>
                <w:kern w:val="24"/>
                <w:sz w:val="18"/>
                <w:szCs w:val="18"/>
              </w:rPr>
              <w:t>≥ 30 kg</w:t>
            </w:r>
          </w:p>
        </w:tc>
        <w:tc>
          <w:tcPr>
            <w:tcW w:w="6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Pr="00B635D6" w:rsidR="00DE442E" w:rsidP="00370DC1" w:rsidRDefault="00DE442E" w14:paraId="5D6763BF" w14:textId="2019C808">
            <w:pPr>
              <w:pStyle w:val="NormalWeb"/>
              <w:spacing w:before="60" w:beforeAutospacing="0" w:after="60" w:afterAutospacing="0" w:line="276" w:lineRule="auto"/>
              <w:rPr>
                <w:rFonts w:hAnsi="Calibri" w:eastAsia="Calibri" w:cs="Calibri" w:asciiTheme="minorHAnsi"/>
                <w:color w:val="000000" w:themeColor="text1"/>
                <w:kern w:val="24"/>
                <w:sz w:val="18"/>
                <w:szCs w:val="18"/>
              </w:rPr>
            </w:pPr>
            <w:r w:rsidRPr="00B635D6">
              <w:rPr>
                <w:rFonts w:hAnsi="Calibri" w:eastAsia="Calibri" w:cs="Calibri" w:asciiTheme="minorHAnsi"/>
                <w:color w:val="000000" w:themeColor="text1"/>
                <w:kern w:val="24"/>
                <w:sz w:val="18"/>
                <w:szCs w:val="18"/>
              </w:rPr>
              <w:t xml:space="preserve">FDC </w:t>
            </w:r>
            <w:r w:rsidRPr="0040125E">
              <w:rPr>
                <w:rFonts w:hAnsi="Calibri" w:eastAsia="Calibri" w:cs="Calibri" w:asciiTheme="minorHAnsi"/>
                <w:b/>
                <w:bCs/>
                <w:color w:val="000000" w:themeColor="text1"/>
                <w:kern w:val="24"/>
                <w:sz w:val="18"/>
                <w:szCs w:val="18"/>
              </w:rPr>
              <w:t xml:space="preserve">TDF/3TC/DTG </w:t>
            </w:r>
            <w:r w:rsidRPr="00B635D6">
              <w:rPr>
                <w:rFonts w:hAnsi="Calibri" w:eastAsia="Calibri" w:cs="Calibri" w:asciiTheme="minorHAnsi"/>
                <w:color w:val="000000" w:themeColor="text1"/>
                <w:kern w:val="24"/>
                <w:sz w:val="18"/>
                <w:szCs w:val="18"/>
              </w:rPr>
              <w:t xml:space="preserve">(300/300/50 mg) </w:t>
            </w:r>
          </w:p>
        </w:tc>
      </w:tr>
    </w:tbl>
    <w:p w:rsidR="00DE442E" w:rsidP="00370DC1" w:rsidRDefault="000B6B8D" w14:paraId="3952829F" w14:textId="39936481">
      <w:pPr>
        <w:pStyle w:val="NormalWeb"/>
        <w:spacing w:before="0" w:beforeAutospacing="0" w:after="0" w:afterAutospacing="0" w:line="276" w:lineRule="auto"/>
        <w:rPr>
          <w:rFonts w:hAnsi="Calibri" w:eastAsia="Calibri" w:cs="Calibri" w:asciiTheme="minorHAnsi"/>
          <w:color w:val="000000" w:themeColor="text1"/>
          <w:kern w:val="24"/>
          <w:sz w:val="20"/>
          <w:szCs w:val="20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836E8B" wp14:editId="6E1D9C28">
                <wp:simplePos x="0" y="0"/>
                <wp:positionH relativeFrom="column">
                  <wp:posOffset>584791</wp:posOffset>
                </wp:positionH>
                <wp:positionV relativeFrom="paragraph">
                  <wp:posOffset>0</wp:posOffset>
                </wp:positionV>
                <wp:extent cx="4743450" cy="2286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Pr="00C56383" w:rsidR="000B6B8D" w:rsidP="000B6B8D" w:rsidRDefault="000B6B8D" w14:paraId="5FAAE155" w14:textId="77777777">
                            <w:r w:rsidRPr="00C56383">
                              <w:rPr>
                                <w:rFonts w:ascii="Calibri" w:hAnsi="Calibri" w:eastAsiaTheme="minorEastAsia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 xml:space="preserve">*Le passage à 50 mg de DTG à 20 kg ne doit se faire que </w:t>
                            </w:r>
                            <w:proofErr w:type="spellStart"/>
                            <w:r w:rsidRPr="00C56383">
                              <w:rPr>
                                <w:rFonts w:ascii="Calibri" w:hAnsi="Calibri" w:eastAsiaTheme="minorEastAsia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si</w:t>
                            </w:r>
                            <w:proofErr w:type="spellEnd"/>
                            <w:r w:rsidRPr="00C56383">
                              <w:rPr>
                                <w:rFonts w:ascii="Calibri" w:hAnsi="Calibri" w:eastAsiaTheme="minorEastAsia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C56383">
                              <w:rPr>
                                <w:rFonts w:ascii="Calibri" w:hAnsi="Calibri" w:eastAsiaTheme="minorEastAsia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l'enfant</w:t>
                            </w:r>
                            <w:proofErr w:type="spellEnd"/>
                            <w:r w:rsidRPr="00C56383">
                              <w:rPr>
                                <w:rFonts w:ascii="Calibri" w:hAnsi="Calibri" w:eastAsiaTheme="minorEastAsia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C56383">
                              <w:rPr>
                                <w:rFonts w:ascii="Calibri" w:hAnsi="Calibri" w:eastAsiaTheme="minorEastAsia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est</w:t>
                            </w:r>
                            <w:proofErr w:type="spellEnd"/>
                            <w:r w:rsidRPr="00C56383">
                              <w:rPr>
                                <w:rFonts w:ascii="Calibri" w:hAnsi="Calibri" w:eastAsiaTheme="minorEastAsia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 xml:space="preserve"> capable </w:t>
                            </w:r>
                            <w:proofErr w:type="spellStart"/>
                            <w:r w:rsidRPr="00C56383">
                              <w:rPr>
                                <w:rFonts w:ascii="Calibri" w:hAnsi="Calibri" w:eastAsiaTheme="minorEastAsia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d'avaler</w:t>
                            </w:r>
                            <w:proofErr w:type="spellEnd"/>
                            <w:r w:rsidRPr="00C56383">
                              <w:rPr>
                                <w:rFonts w:ascii="Calibri" w:hAnsi="Calibri" w:eastAsiaTheme="minorEastAsia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 xml:space="preserve"> des </w:t>
                            </w:r>
                            <w:proofErr w:type="spellStart"/>
                            <w:r w:rsidRPr="00C56383">
                              <w:rPr>
                                <w:rFonts w:ascii="Calibri" w:hAnsi="Calibri" w:eastAsiaTheme="minorEastAsia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comprimés</w:t>
                            </w:r>
                            <w:proofErr w:type="spellEnd"/>
                            <w:r w:rsidRPr="00C56383">
                              <w:rPr>
                                <w:rFonts w:ascii="Calibri" w:hAnsi="Calibri" w:eastAsiaTheme="minorEastAsia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C56383">
                              <w:rPr>
                                <w:rFonts w:ascii="Calibri" w:hAnsi="Calibri" w:eastAsiaTheme="minorEastAsia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entiers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BD0819D">
              <v:shapetype id="_x0000_t202" coordsize="21600,21600" o:spt="202" path="m,l,21600r21600,l21600,xe" w14:anchorId="66836E8B">
                <v:stroke joinstyle="miter"/>
                <v:path gradientshapeok="t" o:connecttype="rect"/>
              </v:shapetype>
              <v:shape id="Text Box 26" style="position:absolute;margin-left:46.05pt;margin-top:0;width:373.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">
                <v:textbox>
                  <w:txbxContent>
                    <w:p w:rsidRPr="00C56383" w:rsidR="000B6B8D" w:rsidP="000B6B8D" w:rsidRDefault="000B6B8D" w14:paraId="469599BE" w14:textId="77777777">
                      <w:r w:rsidRPr="00C56383">
                        <w:rPr>
                          <w:rFonts w:ascii="Calibri" w:hAnsi="Calibri" w:eastAsiaTheme="minorEastAsia"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en-GB"/>
                        </w:rPr>
                        <w:t>*Le passage à 50 mg de DTG à 20 kg ne doit se faire que si l'enfant est capable d'avaler des comprimés entiers</w:t>
                      </w:r>
                    </w:p>
                  </w:txbxContent>
                </v:textbox>
              </v:shape>
            </w:pict>
          </mc:Fallback>
        </mc:AlternateContent>
      </w:r>
    </w:p>
    <w:p w:rsidR="000B6B8D" w:rsidP="000B6B8D" w:rsidRDefault="000B6B8D" w14:paraId="7EAD7693" w14:textId="77777777">
      <w:pPr>
        <w:spacing w:after="0"/>
        <w:rPr>
          <w:b/>
          <w:bCs/>
          <w:lang w:val="en-GB"/>
        </w:rPr>
      </w:pPr>
    </w:p>
    <w:p w:rsidRPr="00C53AE0" w:rsidR="00DE442E" w:rsidP="00A346E7" w:rsidRDefault="00DE442E" w14:paraId="5DD12C10" w14:textId="2DA71A6C">
      <w:pPr>
        <w:spacing w:after="0"/>
        <w:ind w:firstLine="720"/>
        <w:rPr>
          <w:lang w:val="en-GB"/>
        </w:rPr>
      </w:pPr>
      <w:r w:rsidRPr="00C53AE0">
        <w:rPr>
          <w:b/>
          <w:bCs/>
          <w:lang w:val="en-GB"/>
        </w:rPr>
        <w:t xml:space="preserve">Tableau 3 : </w:t>
      </w:r>
      <w:proofErr w:type="spellStart"/>
      <w:r w:rsidRPr="00C53AE0">
        <w:rPr>
          <w:lang w:val="en-GB"/>
        </w:rPr>
        <w:t>Posologie</w:t>
      </w:r>
      <w:proofErr w:type="spellEnd"/>
      <w:r w:rsidRPr="00C53AE0">
        <w:rPr>
          <w:lang w:val="en-GB"/>
        </w:rPr>
        <w:t xml:space="preserve"> </w:t>
      </w:r>
      <w:proofErr w:type="spellStart"/>
      <w:r w:rsidRPr="00C53AE0">
        <w:rPr>
          <w:lang w:val="en-GB"/>
        </w:rPr>
        <w:t>recommandée</w:t>
      </w:r>
      <w:proofErr w:type="spellEnd"/>
      <w:r w:rsidRPr="00C53AE0">
        <w:rPr>
          <w:lang w:val="en-GB"/>
        </w:rPr>
        <w:t xml:space="preserve"> par </w:t>
      </w:r>
      <w:proofErr w:type="spellStart"/>
      <w:r w:rsidRPr="00C53AE0">
        <w:rPr>
          <w:lang w:val="en-GB"/>
        </w:rPr>
        <w:t>l'OMS</w:t>
      </w:r>
      <w:proofErr w:type="spellEnd"/>
      <w:r w:rsidRPr="00C53AE0">
        <w:rPr>
          <w:lang w:val="en-GB"/>
        </w:rPr>
        <w:t xml:space="preserve"> pour le DTG 10 mg</w:t>
      </w:r>
      <w:r>
        <w:rPr>
          <w:lang w:val="en-GB"/>
        </w:rPr>
        <w:t xml:space="preserve">, </w:t>
      </w:r>
      <w:proofErr w:type="spellStart"/>
      <w:r w:rsidRPr="00C53AE0">
        <w:rPr>
          <w:lang w:val="en-GB"/>
        </w:rPr>
        <w:t>comprimé</w:t>
      </w:r>
      <w:proofErr w:type="spellEnd"/>
      <w:r w:rsidRPr="00C53AE0">
        <w:rPr>
          <w:lang w:val="en-GB"/>
        </w:rPr>
        <w:t xml:space="preserve"> </w:t>
      </w:r>
      <w:proofErr w:type="spellStart"/>
      <w:r w:rsidRPr="00C53AE0">
        <w:rPr>
          <w:lang w:val="en-GB"/>
        </w:rPr>
        <w:t>sécable</w:t>
      </w:r>
      <w:proofErr w:type="spellEnd"/>
    </w:p>
    <w:tbl>
      <w:tblPr>
        <w:tblW w:w="7465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55"/>
        <w:gridCol w:w="2520"/>
        <w:gridCol w:w="2790"/>
      </w:tblGrid>
      <w:tr w:rsidRPr="00C53AE0" w:rsidR="00DE442E" w:rsidTr="006A5DDB" w14:paraId="28120323" w14:textId="77777777">
        <w:trPr>
          <w:trHeight w:val="190"/>
          <w:jc w:val="center"/>
        </w:trPr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44061" w:themeFill="accent1" w:themeFillShade="80"/>
            <w:vAlign w:val="center"/>
          </w:tcPr>
          <w:p w:rsidRPr="00C53AE0" w:rsidR="00DE442E" w:rsidP="00370DC1" w:rsidRDefault="00DE442E" w14:paraId="3C943D9A" w14:textId="7777777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>Poids</w:t>
            </w:r>
            <w:proofErr w:type="spellEnd"/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44061" w:themeFill="accent1" w:themeFillShade="80"/>
            <w:vAlign w:val="center"/>
          </w:tcPr>
          <w:p w:rsidRPr="00C53AE0" w:rsidR="00DE442E" w:rsidP="00370DC1" w:rsidRDefault="00DE442E" w14:paraId="1E0C03FB" w14:textId="77777777">
            <w:pPr>
              <w:pStyle w:val="NormalWeb"/>
              <w:spacing w:before="60" w:beforeAutospacing="0" w:after="60" w:afterAutospacing="0" w:line="276" w:lineRule="auto"/>
              <w:jc w:val="center"/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 xml:space="preserve">Dose </w:t>
            </w:r>
            <w:proofErr w:type="spellStart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>journalière</w:t>
            </w:r>
            <w:proofErr w:type="spellEnd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>recommandée</w:t>
            </w:r>
            <w:proofErr w:type="spellEnd"/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44061" w:themeFill="accent1" w:themeFillShade="80"/>
            <w:vAlign w:val="center"/>
          </w:tcPr>
          <w:p w:rsidRPr="00C53AE0" w:rsidR="00DE442E" w:rsidP="00370DC1" w:rsidRDefault="00DE442E" w14:paraId="4E016F27" w14:textId="77777777">
            <w:pPr>
              <w:pStyle w:val="NormalWeb"/>
              <w:spacing w:before="60" w:beforeAutospacing="0" w:after="60" w:afterAutospacing="0" w:line="276" w:lineRule="auto"/>
              <w:jc w:val="center"/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</w:pPr>
            <w:proofErr w:type="spellStart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>Nombre</w:t>
            </w:r>
            <w:proofErr w:type="spellEnd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 xml:space="preserve"> de </w:t>
            </w:r>
            <w:proofErr w:type="spellStart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>comprimés</w:t>
            </w:r>
            <w:proofErr w:type="spellEnd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>quotidiens</w:t>
            </w:r>
            <w:proofErr w:type="spellEnd"/>
          </w:p>
        </w:tc>
      </w:tr>
      <w:tr w:rsidRPr="00C53AE0" w:rsidR="00DE442E" w:rsidTr="006A5DDB" w14:paraId="42992B1B" w14:textId="77777777">
        <w:trPr>
          <w:trHeight w:val="359"/>
          <w:jc w:val="center"/>
        </w:trPr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3AE0" w:rsidR="00DE442E" w:rsidP="00370DC1" w:rsidRDefault="00DE442E" w14:paraId="560F12A1" w14:textId="77777777">
            <w:pPr>
              <w:pStyle w:val="NormalWeb"/>
              <w:spacing w:before="0" w:beforeAutospacing="0" w:after="0" w:afterAutospacing="0"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3 à &lt; 6 kg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3AE0" w:rsidR="00DE442E" w:rsidP="00370DC1" w:rsidRDefault="00DE442E" w14:paraId="1B4A9E2E" w14:textId="77777777">
            <w:pPr>
              <w:pStyle w:val="NormalWeb"/>
              <w:spacing w:before="60" w:beforeAutospacing="0" w:after="60" w:afterAutospacing="0" w:line="276" w:lineRule="auto"/>
              <w:ind w:left="72"/>
              <w:jc w:val="center"/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5 mg </w:t>
            </w:r>
            <w:proofErr w:type="spellStart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une</w:t>
            </w:r>
            <w:proofErr w:type="spellEnd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fois</w:t>
            </w:r>
            <w:proofErr w:type="spellEnd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 par jour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3AE0" w:rsidR="00DE442E" w:rsidP="00370DC1" w:rsidRDefault="00DE442E" w14:paraId="18A30F93" w14:textId="77777777">
            <w:pPr>
              <w:pStyle w:val="NormalWeb"/>
              <w:spacing w:before="60" w:beforeAutospacing="0" w:after="60" w:afterAutospacing="0" w:line="276" w:lineRule="auto"/>
              <w:jc w:val="center"/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  <w:t>0.5</w:t>
            </w:r>
          </w:p>
        </w:tc>
      </w:tr>
      <w:tr w:rsidRPr="00C53AE0" w:rsidR="00DE442E" w:rsidTr="006A5DDB" w14:paraId="703929BC" w14:textId="77777777">
        <w:trPr>
          <w:trHeight w:val="34"/>
          <w:jc w:val="center"/>
        </w:trPr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3AE0" w:rsidR="00DE442E" w:rsidP="00370DC1" w:rsidRDefault="00DE442E" w14:paraId="09178733" w14:textId="77777777">
            <w:pPr>
              <w:pStyle w:val="NormalWeb"/>
              <w:spacing w:before="0" w:beforeAutospacing="0" w:after="0" w:afterAutospacing="0"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6 à &lt; 10 kg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3AE0" w:rsidR="00DE442E" w:rsidP="00370DC1" w:rsidRDefault="00DE442E" w14:paraId="66AA6194" w14:textId="77777777">
            <w:pPr>
              <w:pStyle w:val="NormalWeb"/>
              <w:spacing w:before="60" w:beforeAutospacing="0" w:after="60" w:afterAutospacing="0" w:line="276" w:lineRule="auto"/>
              <w:ind w:left="72"/>
              <w:jc w:val="center"/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15 mg </w:t>
            </w:r>
            <w:proofErr w:type="spellStart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une</w:t>
            </w:r>
            <w:proofErr w:type="spellEnd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fois</w:t>
            </w:r>
            <w:proofErr w:type="spellEnd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 par jour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3AE0" w:rsidR="00DE442E" w:rsidP="00370DC1" w:rsidRDefault="00DE442E" w14:paraId="316E517E" w14:textId="77777777">
            <w:pPr>
              <w:pStyle w:val="NormalWeb"/>
              <w:spacing w:before="60" w:beforeAutospacing="0" w:after="60" w:afterAutospacing="0" w:line="276" w:lineRule="auto"/>
              <w:jc w:val="center"/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  <w:t>1.5</w:t>
            </w:r>
          </w:p>
        </w:tc>
      </w:tr>
      <w:tr w:rsidRPr="00C53AE0" w:rsidR="00DE442E" w:rsidTr="006A5DDB" w14:paraId="2A28AA4D" w14:textId="77777777">
        <w:trPr>
          <w:trHeight w:val="34"/>
          <w:jc w:val="center"/>
        </w:trPr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3AE0" w:rsidR="00DE442E" w:rsidP="00370DC1" w:rsidRDefault="00DE442E" w14:paraId="5C02FEC4" w14:textId="77777777">
            <w:pPr>
              <w:pStyle w:val="NormalWeb"/>
              <w:spacing w:before="0" w:beforeAutospacing="0" w:after="0" w:afterAutospacing="0"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10 à &lt; 14 </w:t>
            </w:r>
            <w:r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kg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3AE0" w:rsidR="00DE442E" w:rsidP="00370DC1" w:rsidRDefault="00DE442E" w14:paraId="79F48D93" w14:textId="77777777">
            <w:pPr>
              <w:pStyle w:val="NormalWeb"/>
              <w:spacing w:before="60" w:beforeAutospacing="0" w:after="60" w:afterAutospacing="0" w:line="276" w:lineRule="auto"/>
              <w:ind w:left="72"/>
              <w:jc w:val="center"/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20 mg </w:t>
            </w:r>
            <w:proofErr w:type="spellStart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une</w:t>
            </w:r>
            <w:proofErr w:type="spellEnd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fois</w:t>
            </w:r>
            <w:proofErr w:type="spellEnd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 par jour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3AE0" w:rsidR="00DE442E" w:rsidP="00370DC1" w:rsidRDefault="00DE442E" w14:paraId="35E84194" w14:textId="77777777">
            <w:pPr>
              <w:pStyle w:val="NormalWeb"/>
              <w:spacing w:before="60" w:beforeAutospacing="0" w:after="60" w:afterAutospacing="0" w:line="276" w:lineRule="auto"/>
              <w:jc w:val="center"/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  <w:t>2</w:t>
            </w:r>
          </w:p>
        </w:tc>
      </w:tr>
      <w:tr w:rsidRPr="00C53AE0" w:rsidR="00DE442E" w:rsidTr="006A5DDB" w14:paraId="465FDE28" w14:textId="77777777">
        <w:trPr>
          <w:trHeight w:val="34"/>
          <w:jc w:val="center"/>
        </w:trPr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3AE0" w:rsidR="00DE442E" w:rsidP="00370DC1" w:rsidRDefault="00DE442E" w14:paraId="751A1626" w14:textId="77777777">
            <w:pPr>
              <w:pStyle w:val="NormalWeb"/>
              <w:spacing w:before="0" w:beforeAutospacing="0" w:after="0" w:afterAutospacing="0"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14 </w:t>
            </w:r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à &lt; 20 kg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3AE0" w:rsidR="00DE442E" w:rsidP="00370DC1" w:rsidRDefault="00DE442E" w14:paraId="04D0A944" w14:textId="77777777">
            <w:pPr>
              <w:pStyle w:val="NormalWeb"/>
              <w:spacing w:before="60" w:beforeAutospacing="0" w:after="60" w:afterAutospacing="0" w:line="276" w:lineRule="auto"/>
              <w:ind w:left="72"/>
              <w:jc w:val="center"/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25 mg </w:t>
            </w:r>
            <w:proofErr w:type="spellStart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une</w:t>
            </w:r>
            <w:proofErr w:type="spellEnd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fois</w:t>
            </w:r>
            <w:proofErr w:type="spellEnd"/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 par jour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3AE0" w:rsidR="00DE442E" w:rsidP="00370DC1" w:rsidRDefault="00DE442E" w14:paraId="53FA5A1D" w14:textId="77777777">
            <w:pPr>
              <w:pStyle w:val="NormalWeb"/>
              <w:spacing w:before="60" w:beforeAutospacing="0" w:after="60" w:afterAutospacing="0" w:line="276" w:lineRule="auto"/>
              <w:jc w:val="center"/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  <w:t>2.5</w:t>
            </w:r>
          </w:p>
        </w:tc>
      </w:tr>
    </w:tbl>
    <w:p w:rsidR="00E0681A" w:rsidP="00370DC1" w:rsidRDefault="00E0681A" w14:paraId="237D10D2" w14:textId="77777777">
      <w:pPr>
        <w:spacing w:after="0"/>
        <w:rPr>
          <w:b/>
          <w:lang w:val="en-GB"/>
        </w:rPr>
      </w:pPr>
    </w:p>
    <w:p w:rsidRPr="00C53AE0" w:rsidR="00DE442E" w:rsidP="00370DC1" w:rsidRDefault="00DE442E" w14:paraId="65856752" w14:textId="265EF22B">
      <w:pPr>
        <w:spacing w:after="0"/>
        <w:jc w:val="center"/>
        <w:rPr>
          <w:lang w:val="en-GB"/>
        </w:rPr>
      </w:pPr>
      <w:r w:rsidRPr="00C53AE0">
        <w:rPr>
          <w:b/>
          <w:lang w:val="en-GB"/>
        </w:rPr>
        <w:t xml:space="preserve">Tableau 4 </w:t>
      </w:r>
      <w:r w:rsidRPr="00C53AE0">
        <w:rPr>
          <w:lang w:val="en-GB"/>
        </w:rPr>
        <w:t xml:space="preserve">: </w:t>
      </w:r>
      <w:proofErr w:type="spellStart"/>
      <w:r w:rsidRPr="00C53AE0">
        <w:rPr>
          <w:lang w:val="en-GB"/>
        </w:rPr>
        <w:t>Posologie</w:t>
      </w:r>
      <w:proofErr w:type="spellEnd"/>
      <w:r w:rsidRPr="00C53AE0">
        <w:rPr>
          <w:lang w:val="en-GB"/>
        </w:rPr>
        <w:t xml:space="preserve"> </w:t>
      </w:r>
      <w:proofErr w:type="spellStart"/>
      <w:r w:rsidRPr="00C53AE0">
        <w:rPr>
          <w:lang w:val="en-GB"/>
        </w:rPr>
        <w:t>recommandée</w:t>
      </w:r>
      <w:proofErr w:type="spellEnd"/>
      <w:r w:rsidRPr="00C53AE0">
        <w:rPr>
          <w:lang w:val="en-GB"/>
        </w:rPr>
        <w:t xml:space="preserve"> par </w:t>
      </w:r>
      <w:proofErr w:type="spellStart"/>
      <w:r w:rsidRPr="00C53AE0">
        <w:rPr>
          <w:lang w:val="en-GB"/>
        </w:rPr>
        <w:t>l'OMS</w:t>
      </w:r>
      <w:proofErr w:type="spellEnd"/>
      <w:r w:rsidRPr="00C53AE0">
        <w:rPr>
          <w:lang w:val="en-GB"/>
        </w:rPr>
        <w:t xml:space="preserve"> pour le </w:t>
      </w:r>
      <w:proofErr w:type="spellStart"/>
      <w:r w:rsidRPr="00C53AE0">
        <w:rPr>
          <w:lang w:val="en-GB"/>
        </w:rPr>
        <w:t>comprimé</w:t>
      </w:r>
      <w:proofErr w:type="spellEnd"/>
      <w:r w:rsidRPr="00C53AE0">
        <w:rPr>
          <w:lang w:val="en-GB"/>
        </w:rPr>
        <w:t xml:space="preserve"> </w:t>
      </w:r>
      <w:proofErr w:type="spellStart"/>
      <w:r w:rsidRPr="00C53AE0">
        <w:rPr>
          <w:lang w:val="en-GB"/>
        </w:rPr>
        <w:t>sécable</w:t>
      </w:r>
      <w:proofErr w:type="spellEnd"/>
      <w:r w:rsidRPr="00C53AE0">
        <w:rPr>
          <w:lang w:val="en-GB"/>
        </w:rPr>
        <w:t xml:space="preserve"> </w:t>
      </w:r>
      <w:r>
        <w:rPr>
          <w:lang w:val="en-GB"/>
        </w:rPr>
        <w:t xml:space="preserve">et </w:t>
      </w:r>
      <w:r w:rsidRPr="00C53AE0">
        <w:rPr>
          <w:lang w:val="en-GB"/>
        </w:rPr>
        <w:t>dispersible ABC/3TC 120/60</w:t>
      </w:r>
    </w:p>
    <w:tbl>
      <w:tblPr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95"/>
        <w:gridCol w:w="3965"/>
      </w:tblGrid>
      <w:tr w:rsidRPr="00C53AE0" w:rsidR="00DE442E" w:rsidTr="006A5DDB" w14:paraId="0FF130A6" w14:textId="77777777">
        <w:trPr>
          <w:trHeight w:val="190"/>
          <w:jc w:val="center"/>
        </w:trPr>
        <w:tc>
          <w:tcPr>
            <w:tcW w:w="3595" w:type="dxa"/>
            <w:shd w:val="clear" w:color="auto" w:fill="244061" w:themeFill="accent1" w:themeFillShade="80"/>
            <w:vAlign w:val="center"/>
          </w:tcPr>
          <w:p w:rsidRPr="00C53AE0" w:rsidR="00DE442E" w:rsidP="00370DC1" w:rsidRDefault="00DE442E" w14:paraId="49D9B0A5" w14:textId="7777777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>Poids</w:t>
            </w:r>
            <w:proofErr w:type="spellEnd"/>
          </w:p>
        </w:tc>
        <w:tc>
          <w:tcPr>
            <w:tcW w:w="3965" w:type="dxa"/>
            <w:shd w:val="clear" w:color="auto" w:fill="244061" w:themeFill="accent1" w:themeFillShade="80"/>
            <w:vAlign w:val="center"/>
          </w:tcPr>
          <w:p w:rsidRPr="00C53AE0" w:rsidR="00DE442E" w:rsidP="00370DC1" w:rsidRDefault="00DE442E" w14:paraId="3F5A8D72" w14:textId="77777777">
            <w:pPr>
              <w:pStyle w:val="NormalWeb"/>
              <w:spacing w:before="60" w:beforeAutospacing="0" w:after="60" w:afterAutospacing="0" w:line="276" w:lineRule="auto"/>
              <w:jc w:val="center"/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</w:pPr>
            <w:proofErr w:type="spellStart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>Nombre</w:t>
            </w:r>
            <w:proofErr w:type="spellEnd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 xml:space="preserve"> de </w:t>
            </w:r>
            <w:proofErr w:type="spellStart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>comprimés</w:t>
            </w:r>
            <w:proofErr w:type="spellEnd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53AE0">
              <w:rPr>
                <w:rFonts w:ascii="Calibri" w:hAnsi="Calibri" w:eastAsia="Calibri" w:cs="Calibri"/>
                <w:b/>
                <w:color w:val="FFFFFF" w:themeColor="background1"/>
                <w:kern w:val="24"/>
                <w:sz w:val="20"/>
                <w:szCs w:val="20"/>
              </w:rPr>
              <w:t>quotidiens</w:t>
            </w:r>
            <w:proofErr w:type="spellEnd"/>
          </w:p>
        </w:tc>
      </w:tr>
      <w:tr w:rsidRPr="00C53AE0" w:rsidR="00DE442E" w:rsidTr="006A5DDB" w14:paraId="384BE395" w14:textId="77777777">
        <w:trPr>
          <w:trHeight w:val="359"/>
          <w:jc w:val="center"/>
        </w:trPr>
        <w:tc>
          <w:tcPr>
            <w:tcW w:w="3595" w:type="dxa"/>
            <w:vAlign w:val="center"/>
          </w:tcPr>
          <w:p w:rsidRPr="00C53AE0" w:rsidR="00DE442E" w:rsidP="00370DC1" w:rsidRDefault="00DE442E" w14:paraId="32E408CD" w14:textId="77777777">
            <w:pPr>
              <w:pStyle w:val="NormalWeb"/>
              <w:spacing w:before="0" w:beforeAutospacing="0" w:after="0" w:afterAutospacing="0"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3 à &lt; 6 kg</w:t>
            </w:r>
          </w:p>
        </w:tc>
        <w:tc>
          <w:tcPr>
            <w:tcW w:w="3965" w:type="dxa"/>
            <w:vAlign w:val="center"/>
          </w:tcPr>
          <w:p w:rsidRPr="00C53AE0" w:rsidR="00DE442E" w:rsidP="00370DC1" w:rsidRDefault="00DE442E" w14:paraId="713278A9" w14:textId="77777777">
            <w:pPr>
              <w:pStyle w:val="NormalWeb"/>
              <w:spacing w:before="60" w:beforeAutospacing="0" w:after="60" w:afterAutospacing="0" w:line="276" w:lineRule="auto"/>
              <w:jc w:val="center"/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</w:tr>
      <w:tr w:rsidRPr="00C53AE0" w:rsidR="00DE442E" w:rsidTr="006A5DDB" w14:paraId="39EDD7E5" w14:textId="77777777">
        <w:trPr>
          <w:trHeight w:val="34"/>
          <w:jc w:val="center"/>
        </w:trPr>
        <w:tc>
          <w:tcPr>
            <w:tcW w:w="3595" w:type="dxa"/>
            <w:vAlign w:val="center"/>
          </w:tcPr>
          <w:p w:rsidRPr="00C53AE0" w:rsidR="00DE442E" w:rsidP="00370DC1" w:rsidRDefault="00DE442E" w14:paraId="52668C17" w14:textId="77777777">
            <w:pPr>
              <w:pStyle w:val="NormalWeb"/>
              <w:spacing w:before="0" w:beforeAutospacing="0" w:after="0" w:afterAutospacing="0"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6 à &lt; 10 kg</w:t>
            </w:r>
          </w:p>
        </w:tc>
        <w:tc>
          <w:tcPr>
            <w:tcW w:w="3965" w:type="dxa"/>
            <w:vAlign w:val="center"/>
          </w:tcPr>
          <w:p w:rsidRPr="00C53AE0" w:rsidR="00DE442E" w:rsidP="00370DC1" w:rsidRDefault="00DE442E" w14:paraId="43193AB4" w14:textId="77777777">
            <w:pPr>
              <w:pStyle w:val="NormalWeb"/>
              <w:spacing w:before="60" w:beforeAutospacing="0" w:after="60" w:afterAutospacing="0" w:line="276" w:lineRule="auto"/>
              <w:jc w:val="center"/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  <w:t>1.5</w:t>
            </w:r>
          </w:p>
        </w:tc>
      </w:tr>
      <w:tr w:rsidRPr="00C53AE0" w:rsidR="00DE442E" w:rsidTr="006A5DDB" w14:paraId="3B7A09BC" w14:textId="77777777">
        <w:trPr>
          <w:trHeight w:val="34"/>
          <w:jc w:val="center"/>
        </w:trPr>
        <w:tc>
          <w:tcPr>
            <w:tcW w:w="3595" w:type="dxa"/>
            <w:vAlign w:val="center"/>
          </w:tcPr>
          <w:p w:rsidRPr="00C53AE0" w:rsidR="00DE442E" w:rsidP="00370DC1" w:rsidRDefault="00DE442E" w14:paraId="7480311F" w14:textId="77777777">
            <w:pPr>
              <w:pStyle w:val="NormalWeb"/>
              <w:spacing w:before="0" w:beforeAutospacing="0" w:after="0" w:afterAutospacing="0"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10 à &lt; 14 </w:t>
            </w:r>
            <w:r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kg</w:t>
            </w:r>
          </w:p>
        </w:tc>
        <w:tc>
          <w:tcPr>
            <w:tcW w:w="3965" w:type="dxa"/>
            <w:vAlign w:val="center"/>
          </w:tcPr>
          <w:p w:rsidRPr="00C53AE0" w:rsidR="00DE442E" w:rsidP="00370DC1" w:rsidRDefault="00DE442E" w14:paraId="74E976A8" w14:textId="77777777">
            <w:pPr>
              <w:pStyle w:val="NormalWeb"/>
              <w:spacing w:before="60" w:beforeAutospacing="0" w:after="60" w:afterAutospacing="0" w:line="276" w:lineRule="auto"/>
              <w:jc w:val="center"/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  <w:t>2</w:t>
            </w:r>
          </w:p>
        </w:tc>
      </w:tr>
      <w:tr w:rsidRPr="00C53AE0" w:rsidR="00DE442E" w:rsidTr="006A5DDB" w14:paraId="171A799C" w14:textId="77777777">
        <w:trPr>
          <w:trHeight w:val="34"/>
          <w:jc w:val="center"/>
        </w:trPr>
        <w:tc>
          <w:tcPr>
            <w:tcW w:w="3595" w:type="dxa"/>
            <w:vAlign w:val="center"/>
          </w:tcPr>
          <w:p w:rsidRPr="00C53AE0" w:rsidR="00DE442E" w:rsidP="00370DC1" w:rsidRDefault="00DE442E" w14:paraId="53D45121" w14:textId="77777777">
            <w:pPr>
              <w:pStyle w:val="NormalWeb"/>
              <w:spacing w:before="0" w:beforeAutospacing="0" w:after="0" w:afterAutospacing="0"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 xml:space="preserve">14 </w:t>
            </w:r>
            <w:r w:rsidRPr="00C53AE0">
              <w:rPr>
                <w:rFonts w:ascii="Calibri" w:hAnsi="Calibri" w:eastAsia="Calibri" w:cs="Calibri"/>
                <w:color w:val="000000" w:themeColor="text1"/>
                <w:kern w:val="24"/>
                <w:sz w:val="20"/>
                <w:szCs w:val="20"/>
              </w:rPr>
              <w:t>à &lt; 20 kg</w:t>
            </w:r>
          </w:p>
        </w:tc>
        <w:tc>
          <w:tcPr>
            <w:tcW w:w="3965" w:type="dxa"/>
            <w:vAlign w:val="center"/>
          </w:tcPr>
          <w:p w:rsidRPr="00C53AE0" w:rsidR="00DE442E" w:rsidP="00370DC1" w:rsidRDefault="00DE442E" w14:paraId="1339450B" w14:textId="77777777">
            <w:pPr>
              <w:pStyle w:val="NormalWeb"/>
              <w:spacing w:before="60" w:beforeAutospacing="0" w:after="60" w:afterAutospacing="0" w:line="276" w:lineRule="auto"/>
              <w:jc w:val="center"/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</w:pPr>
            <w:r w:rsidRPr="00C53AE0">
              <w:rPr>
                <w:rFonts w:ascii="Calibri" w:hAnsi="Calibri" w:eastAsia="Calibri" w:cs="Calibri"/>
                <w:bCs/>
                <w:color w:val="000000" w:themeColor="text1"/>
                <w:kern w:val="24"/>
                <w:sz w:val="20"/>
                <w:szCs w:val="20"/>
              </w:rPr>
              <w:t>2.5</w:t>
            </w:r>
          </w:p>
        </w:tc>
      </w:tr>
    </w:tbl>
    <w:p w:rsidR="007D0E8F" w:rsidP="00370DC1" w:rsidRDefault="007D0E8F" w14:paraId="402D7F14" w14:textId="77777777">
      <w:pPr>
        <w:tabs>
          <w:tab w:val="left" w:pos="90"/>
        </w:tabs>
        <w:spacing w:after="0"/>
        <w:contextualSpacing/>
        <w:jc w:val="both"/>
        <w:rPr>
          <w:rFonts w:cstheme="minorHAnsi"/>
          <w:i/>
          <w:iCs/>
        </w:rPr>
      </w:pPr>
    </w:p>
    <w:p w:rsidRPr="008E048A" w:rsidR="005405AB" w:rsidP="00370DC1" w:rsidRDefault="005405AB" w14:paraId="4BABC854" w14:textId="5BC2185D">
      <w:pPr>
        <w:tabs>
          <w:tab w:val="left" w:pos="90"/>
        </w:tabs>
        <w:spacing w:after="0"/>
        <w:contextualSpacing/>
        <w:jc w:val="both"/>
        <w:rPr>
          <w:rFonts w:cstheme="minorHAnsi"/>
          <w:i/>
          <w:iCs/>
          <w:highlight w:val="yellow"/>
        </w:rPr>
      </w:pPr>
      <w:r w:rsidRPr="008E048A">
        <w:rPr>
          <w:rFonts w:cstheme="minorHAnsi"/>
          <w:i/>
          <w:iCs/>
          <w:highlight w:val="yellow"/>
        </w:rPr>
        <w:t>[</w:t>
      </w:r>
      <w:proofErr w:type="spellStart"/>
      <w:r w:rsidRPr="008E048A">
        <w:rPr>
          <w:rFonts w:cstheme="minorHAnsi"/>
          <w:i/>
          <w:iCs/>
          <w:highlight w:val="yellow"/>
        </w:rPr>
        <w:t>Fournir</w:t>
      </w:r>
      <w:proofErr w:type="spellEnd"/>
      <w:r w:rsidRPr="008E048A">
        <w:rPr>
          <w:rFonts w:cstheme="minorHAnsi"/>
          <w:i/>
          <w:iCs/>
          <w:highlight w:val="yellow"/>
        </w:rPr>
        <w:t xml:space="preserve"> un </w:t>
      </w:r>
      <w:proofErr w:type="spellStart"/>
      <w:r w:rsidRPr="008E048A">
        <w:rPr>
          <w:rFonts w:cstheme="minorHAnsi"/>
          <w:i/>
          <w:iCs/>
          <w:highlight w:val="yellow"/>
        </w:rPr>
        <w:t>contexte</w:t>
      </w:r>
      <w:proofErr w:type="spellEnd"/>
      <w:r w:rsidRPr="008E048A">
        <w:rPr>
          <w:rFonts w:cstheme="minorHAnsi"/>
          <w:i/>
          <w:iCs/>
          <w:highlight w:val="yellow"/>
        </w:rPr>
        <w:t xml:space="preserve"> sur le </w:t>
      </w:r>
      <w:proofErr w:type="spellStart"/>
      <w:r w:rsidRPr="008E048A">
        <w:rPr>
          <w:rFonts w:cstheme="minorHAnsi"/>
          <w:i/>
          <w:iCs/>
          <w:highlight w:val="yellow"/>
        </w:rPr>
        <w:t>paysage</w:t>
      </w:r>
      <w:proofErr w:type="spellEnd"/>
      <w:r w:rsidRPr="008E048A">
        <w:rPr>
          <w:rFonts w:cstheme="minorHAnsi"/>
          <w:i/>
          <w:iCs/>
          <w:highlight w:val="yellow"/>
        </w:rPr>
        <w:t xml:space="preserve"> </w:t>
      </w:r>
      <w:proofErr w:type="spellStart"/>
      <w:r w:rsidRPr="008E048A">
        <w:rPr>
          <w:rFonts w:cstheme="minorHAnsi"/>
          <w:i/>
          <w:iCs/>
          <w:highlight w:val="yellow"/>
        </w:rPr>
        <w:t>pédiatrique</w:t>
      </w:r>
      <w:proofErr w:type="spellEnd"/>
      <w:r w:rsidRPr="008E048A">
        <w:rPr>
          <w:rFonts w:cstheme="minorHAnsi"/>
          <w:i/>
          <w:iCs/>
          <w:highlight w:val="yellow"/>
        </w:rPr>
        <w:t xml:space="preserve"> du pays. </w:t>
      </w:r>
      <w:proofErr w:type="spellStart"/>
      <w:r w:rsidRPr="008E048A">
        <w:rPr>
          <w:rFonts w:cstheme="minorHAnsi"/>
          <w:i/>
          <w:iCs/>
          <w:highlight w:val="yellow"/>
        </w:rPr>
        <w:t>Couvrir</w:t>
      </w:r>
      <w:proofErr w:type="spellEnd"/>
      <w:r w:rsidRPr="008E048A">
        <w:rPr>
          <w:rFonts w:cstheme="minorHAnsi"/>
          <w:i/>
          <w:iCs/>
          <w:highlight w:val="yellow"/>
        </w:rPr>
        <w:t xml:space="preserve"> les </w:t>
      </w:r>
      <w:proofErr w:type="spellStart"/>
      <w:r w:rsidRPr="008E048A">
        <w:rPr>
          <w:rFonts w:cstheme="minorHAnsi"/>
          <w:i/>
          <w:iCs/>
          <w:highlight w:val="yellow"/>
        </w:rPr>
        <w:t>éléments</w:t>
      </w:r>
      <w:proofErr w:type="spellEnd"/>
      <w:r w:rsidRPr="008E048A">
        <w:rPr>
          <w:rFonts w:cstheme="minorHAnsi"/>
          <w:i/>
          <w:iCs/>
          <w:highlight w:val="yellow"/>
        </w:rPr>
        <w:t xml:space="preserve"> </w:t>
      </w:r>
      <w:proofErr w:type="spellStart"/>
      <w:r w:rsidRPr="008E048A">
        <w:rPr>
          <w:rFonts w:cstheme="minorHAnsi"/>
          <w:i/>
          <w:iCs/>
          <w:highlight w:val="yellow"/>
        </w:rPr>
        <w:t>suivants</w:t>
      </w:r>
      <w:proofErr w:type="spellEnd"/>
      <w:r w:rsidRPr="008E048A">
        <w:rPr>
          <w:rFonts w:cstheme="minorHAnsi"/>
          <w:i/>
          <w:iCs/>
          <w:highlight w:val="yellow"/>
        </w:rPr>
        <w:t xml:space="preserve"> : </w:t>
      </w:r>
    </w:p>
    <w:p w:rsidRPr="008E048A" w:rsidR="005405AB" w:rsidP="00370DC1" w:rsidRDefault="005405AB" w14:paraId="2D01DDEF" w14:textId="4C85F869">
      <w:pPr>
        <w:pStyle w:val="ListParagraph"/>
        <w:numPr>
          <w:ilvl w:val="0"/>
          <w:numId w:val="20"/>
        </w:numPr>
        <w:tabs>
          <w:tab w:val="left" w:pos="90"/>
        </w:tabs>
        <w:spacing w:after="0" w:line="276" w:lineRule="auto"/>
        <w:rPr>
          <w:rFonts w:asciiTheme="minorHAnsi" w:hAnsiTheme="minorHAnsi" w:cstheme="minorHAnsi"/>
          <w:i/>
          <w:iCs/>
          <w:highlight w:val="yellow"/>
        </w:rPr>
      </w:pP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Nombre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 de PVVIH et </w:t>
      </w: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nombre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 de PVVIH sous TAR </w:t>
      </w:r>
    </w:p>
    <w:p w:rsidRPr="008E048A" w:rsidR="005405AB" w:rsidP="00370DC1" w:rsidRDefault="005405AB" w14:paraId="618FBBC1" w14:textId="385D8E85">
      <w:pPr>
        <w:pStyle w:val="ListParagraph"/>
        <w:numPr>
          <w:ilvl w:val="0"/>
          <w:numId w:val="20"/>
        </w:numPr>
        <w:tabs>
          <w:tab w:val="left" w:pos="90"/>
        </w:tabs>
        <w:spacing w:after="0" w:line="276" w:lineRule="auto"/>
        <w:rPr>
          <w:rFonts w:asciiTheme="minorHAnsi" w:hAnsiTheme="minorHAnsi" w:cstheme="minorHAnsi"/>
          <w:i/>
          <w:iCs/>
          <w:highlight w:val="yellow"/>
        </w:rPr>
      </w:pPr>
      <w:r w:rsidRPr="008E048A">
        <w:rPr>
          <w:rFonts w:asciiTheme="minorHAnsi" w:hAnsiTheme="minorHAnsi" w:cstheme="minorHAnsi"/>
          <w:i/>
          <w:iCs/>
          <w:highlight w:val="yellow"/>
        </w:rPr>
        <w:t xml:space="preserve">Régimes ART </w:t>
      </w: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actuels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 (</w:t>
      </w: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selon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 les directives du pays)</w:t>
      </w:r>
    </w:p>
    <w:p w:rsidRPr="008E048A" w:rsidR="005405AB" w:rsidP="00370DC1" w:rsidRDefault="005405AB" w14:paraId="4A97A42B" w14:textId="2EE8D1A4">
      <w:pPr>
        <w:pStyle w:val="ListParagraph"/>
        <w:numPr>
          <w:ilvl w:val="0"/>
          <w:numId w:val="20"/>
        </w:numPr>
        <w:tabs>
          <w:tab w:val="left" w:pos="90"/>
        </w:tabs>
        <w:spacing w:after="0" w:line="276" w:lineRule="auto"/>
        <w:rPr>
          <w:rFonts w:asciiTheme="minorHAnsi" w:hAnsiTheme="minorHAnsi" w:cstheme="minorHAnsi"/>
          <w:i/>
          <w:iCs/>
          <w:highlight w:val="yellow"/>
        </w:rPr>
      </w:pP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Taux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 de suppression </w:t>
      </w: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virale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 </w:t>
      </w:r>
    </w:p>
    <w:p w:rsidRPr="008E048A" w:rsidR="005405AB" w:rsidP="00370DC1" w:rsidRDefault="005405AB" w14:paraId="34BF4C8E" w14:textId="5354951A">
      <w:pPr>
        <w:pStyle w:val="ListParagraph"/>
        <w:numPr>
          <w:ilvl w:val="0"/>
          <w:numId w:val="20"/>
        </w:numPr>
        <w:tabs>
          <w:tab w:val="left" w:pos="90"/>
        </w:tabs>
        <w:spacing w:after="0" w:line="276" w:lineRule="auto"/>
        <w:rPr>
          <w:rFonts w:asciiTheme="minorHAnsi" w:hAnsiTheme="minorHAnsi" w:cstheme="minorHAnsi"/>
          <w:i/>
          <w:iCs/>
          <w:highlight w:val="yellow"/>
        </w:rPr>
      </w:pP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Pourquoi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 </w:t>
      </w: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est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-il </w:t>
      </w: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nécessaire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 de passer à des régimes </w:t>
      </w: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optimaux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 ? </w:t>
      </w:r>
    </w:p>
    <w:p w:rsidRPr="008E048A" w:rsidR="005405AB" w:rsidP="00370DC1" w:rsidRDefault="005405AB" w14:paraId="1ECC6A59" w14:textId="4B6AC4A3">
      <w:pPr>
        <w:pStyle w:val="ListParagraph"/>
        <w:numPr>
          <w:ilvl w:val="0"/>
          <w:numId w:val="20"/>
        </w:numPr>
        <w:tabs>
          <w:tab w:val="left" w:pos="90"/>
        </w:tabs>
        <w:spacing w:after="0" w:line="276" w:lineRule="auto"/>
        <w:rPr>
          <w:rFonts w:asciiTheme="minorHAnsi" w:hAnsiTheme="minorHAnsi" w:cstheme="minorHAnsi"/>
          <w:i/>
          <w:iCs/>
          <w:highlight w:val="yellow"/>
        </w:rPr>
      </w:pP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Décision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 du </w:t>
      </w: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ministère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 de la </w:t>
      </w: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santé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 de passer à la </w:t>
      </w: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loi</w:t>
      </w:r>
      <w:proofErr w:type="spellEnd"/>
      <w:r w:rsidRPr="008E048A">
        <w:rPr>
          <w:rFonts w:asciiTheme="minorHAnsi" w:hAnsiTheme="minorHAnsi" w:cstheme="minorHAnsi"/>
          <w:i/>
          <w:iCs/>
          <w:highlight w:val="yellow"/>
        </w:rPr>
        <w:t xml:space="preserve"> sur la protection des </w:t>
      </w:r>
      <w:proofErr w:type="spellStart"/>
      <w:r w:rsidRPr="008E048A">
        <w:rPr>
          <w:rFonts w:asciiTheme="minorHAnsi" w:hAnsiTheme="minorHAnsi" w:cstheme="minorHAnsi"/>
          <w:i/>
          <w:iCs/>
          <w:highlight w:val="yellow"/>
        </w:rPr>
        <w:t>données</w:t>
      </w:r>
      <w:proofErr w:type="spellEnd"/>
      <w:r w:rsidRPr="008E048A" w:rsidR="003A046D">
        <w:rPr>
          <w:rFonts w:asciiTheme="minorHAnsi" w:hAnsiTheme="minorHAnsi" w:cstheme="minorHAnsi"/>
          <w:i/>
          <w:iCs/>
          <w:highlight w:val="yellow"/>
        </w:rPr>
        <w:t xml:space="preserve">, des populations </w:t>
      </w:r>
      <w:proofErr w:type="spellStart"/>
      <w:r w:rsidRPr="008E048A" w:rsidR="003A046D">
        <w:rPr>
          <w:rFonts w:asciiTheme="minorHAnsi" w:hAnsiTheme="minorHAnsi" w:cstheme="minorHAnsi"/>
          <w:i/>
          <w:iCs/>
          <w:highlight w:val="yellow"/>
        </w:rPr>
        <w:t>éligibles</w:t>
      </w:r>
      <w:proofErr w:type="spellEnd"/>
      <w:r w:rsidRPr="008E048A" w:rsidR="003A046D">
        <w:rPr>
          <w:rFonts w:asciiTheme="minorHAnsi" w:hAnsiTheme="minorHAnsi" w:cstheme="minorHAnsi"/>
          <w:i/>
          <w:iCs/>
          <w:highlight w:val="yellow"/>
        </w:rPr>
        <w:t xml:space="preserve">, etc. </w:t>
      </w:r>
      <w:r w:rsidRPr="008E048A" w:rsidR="007A196E">
        <w:rPr>
          <w:rFonts w:asciiTheme="minorHAnsi" w:hAnsiTheme="minorHAnsi" w:cstheme="minorHAnsi"/>
          <w:i/>
          <w:iCs/>
          <w:highlight w:val="yellow"/>
        </w:rPr>
        <w:t>]</w:t>
      </w:r>
    </w:p>
    <w:p w:rsidRPr="00962853" w:rsidR="001E77C2" w:rsidP="00370DC1" w:rsidRDefault="001E77C2" w14:paraId="1EB6397B" w14:textId="77777777">
      <w:pPr>
        <w:pStyle w:val="Heading1"/>
        <w:jc w:val="both"/>
        <w:rPr>
          <w:rFonts w:asciiTheme="minorHAnsi" w:hAnsiTheme="minorHAnsi" w:cstheme="minorHAnsi"/>
          <w:sz w:val="28"/>
          <w:szCs w:val="28"/>
        </w:rPr>
      </w:pPr>
      <w:r w:rsidRPr="00962853">
        <w:rPr>
          <w:rFonts w:asciiTheme="minorHAnsi" w:hAnsiTheme="minorHAnsi" w:cstheme="minorHAnsi"/>
          <w:sz w:val="28"/>
          <w:szCs w:val="28"/>
        </w:rPr>
        <w:t xml:space="preserve">Champ </w:t>
      </w:r>
      <w:proofErr w:type="spellStart"/>
      <w:r w:rsidRPr="00962853">
        <w:rPr>
          <w:rFonts w:asciiTheme="minorHAnsi" w:hAnsiTheme="minorHAnsi" w:cstheme="minorHAnsi"/>
          <w:sz w:val="28"/>
          <w:szCs w:val="28"/>
        </w:rPr>
        <w:t>d'application</w:t>
      </w:r>
      <w:proofErr w:type="spellEnd"/>
      <w:r w:rsidRPr="00962853">
        <w:rPr>
          <w:rFonts w:asciiTheme="minorHAnsi" w:hAnsiTheme="minorHAnsi" w:cstheme="minorHAnsi"/>
          <w:sz w:val="28"/>
          <w:szCs w:val="28"/>
        </w:rPr>
        <w:t xml:space="preserve"> et </w:t>
      </w:r>
      <w:proofErr w:type="spellStart"/>
      <w:r w:rsidRPr="00962853">
        <w:rPr>
          <w:rFonts w:asciiTheme="minorHAnsi" w:hAnsiTheme="minorHAnsi" w:cstheme="minorHAnsi"/>
          <w:sz w:val="28"/>
          <w:szCs w:val="28"/>
        </w:rPr>
        <w:t>objectif</w:t>
      </w:r>
      <w:proofErr w:type="spellEnd"/>
    </w:p>
    <w:p w:rsidRPr="00962853" w:rsidR="001E77C2" w:rsidP="00370DC1" w:rsidRDefault="001E77C2" w14:paraId="44E5DFE8" w14:textId="327631D2">
      <w:pPr>
        <w:pStyle w:val="EndnoteText"/>
        <w:spacing w:line="276" w:lineRule="auto"/>
        <w:contextualSpacing/>
        <w:jc w:val="both"/>
        <w:rPr>
          <w:rFonts w:cstheme="minorHAnsi"/>
          <w:sz w:val="22"/>
          <w:szCs w:val="22"/>
        </w:rPr>
      </w:pPr>
      <w:proofErr w:type="spellStart"/>
      <w:r w:rsidRPr="00962853">
        <w:rPr>
          <w:rFonts w:cstheme="minorHAnsi"/>
          <w:sz w:val="22"/>
          <w:szCs w:val="22"/>
        </w:rPr>
        <w:t>L'objectif</w:t>
      </w:r>
      <w:proofErr w:type="spellEnd"/>
      <w:r w:rsidRPr="00962853">
        <w:rPr>
          <w:rFonts w:cstheme="minorHAnsi"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sz w:val="22"/>
          <w:szCs w:val="22"/>
        </w:rPr>
        <w:t>ce</w:t>
      </w:r>
      <w:proofErr w:type="spellEnd"/>
      <w:r w:rsidRPr="00962853">
        <w:rPr>
          <w:rFonts w:cstheme="minorHAnsi"/>
          <w:sz w:val="22"/>
          <w:szCs w:val="22"/>
        </w:rPr>
        <w:t xml:space="preserve"> document </w:t>
      </w:r>
      <w:proofErr w:type="spellStart"/>
      <w:r w:rsidRPr="00962853">
        <w:rPr>
          <w:rFonts w:cstheme="minorHAnsi"/>
          <w:sz w:val="22"/>
          <w:szCs w:val="22"/>
        </w:rPr>
        <w:t>est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d'aider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r w:rsidRPr="00C63F66">
        <w:rPr>
          <w:rFonts w:cstheme="minorHAnsi"/>
          <w:sz w:val="22"/>
          <w:szCs w:val="22"/>
        </w:rPr>
        <w:t xml:space="preserve">le </w:t>
      </w:r>
      <w:proofErr w:type="spellStart"/>
      <w:r w:rsidRPr="00962853">
        <w:rPr>
          <w:rFonts w:cstheme="minorHAnsi"/>
          <w:sz w:val="22"/>
          <w:szCs w:val="22"/>
        </w:rPr>
        <w:t>responsable</w:t>
      </w:r>
      <w:proofErr w:type="spellEnd"/>
      <w:r w:rsidRPr="00962853">
        <w:rPr>
          <w:rFonts w:cstheme="minorHAnsi"/>
          <w:sz w:val="22"/>
          <w:szCs w:val="22"/>
        </w:rPr>
        <w:t xml:space="preserve"> et les </w:t>
      </w:r>
      <w:proofErr w:type="spellStart"/>
      <w:r w:rsidRPr="00962853">
        <w:rPr>
          <w:rFonts w:cstheme="minorHAnsi"/>
          <w:sz w:val="22"/>
          <w:szCs w:val="22"/>
        </w:rPr>
        <w:t>responsables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r w:rsidRPr="00C63F66" w:rsidR="00852353">
        <w:rPr>
          <w:rFonts w:cstheme="minorHAnsi"/>
          <w:sz w:val="22"/>
          <w:szCs w:val="22"/>
          <w:highlight w:val="yellow"/>
        </w:rPr>
        <w:t xml:space="preserve">[du </w:t>
      </w:r>
      <w:r w:rsidR="00C63F66">
        <w:rPr>
          <w:rFonts w:cstheme="minorHAnsi"/>
          <w:sz w:val="22"/>
          <w:szCs w:val="22"/>
          <w:highlight w:val="yellow"/>
        </w:rPr>
        <w:t>programme</w:t>
      </w:r>
      <w:r w:rsidRPr="00C63F66" w:rsidR="00852353">
        <w:rPr>
          <w:rFonts w:cstheme="minorHAnsi"/>
          <w:sz w:val="22"/>
          <w:szCs w:val="22"/>
          <w:highlight w:val="yellow"/>
        </w:rPr>
        <w:t xml:space="preserve"> VIH / SIDA dans le pays], les </w:t>
      </w:r>
      <w:proofErr w:type="spellStart"/>
      <w:r w:rsidRPr="00962853">
        <w:rPr>
          <w:rFonts w:cstheme="minorHAnsi"/>
          <w:sz w:val="22"/>
          <w:szCs w:val="22"/>
        </w:rPr>
        <w:t>centres</w:t>
      </w:r>
      <w:proofErr w:type="spellEnd"/>
      <w:r w:rsidRPr="00962853">
        <w:rPr>
          <w:rFonts w:cstheme="minorHAnsi"/>
          <w:sz w:val="22"/>
          <w:szCs w:val="22"/>
        </w:rPr>
        <w:t xml:space="preserve"> et les </w:t>
      </w:r>
      <w:proofErr w:type="spellStart"/>
      <w:r w:rsidRPr="00962853">
        <w:rPr>
          <w:rFonts w:cstheme="minorHAnsi"/>
          <w:sz w:val="22"/>
          <w:szCs w:val="22"/>
        </w:rPr>
        <w:t>établissements</w:t>
      </w:r>
      <w:proofErr w:type="spellEnd"/>
      <w:r w:rsidRPr="00962853">
        <w:rPr>
          <w:rFonts w:cstheme="minorHAnsi"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sz w:val="22"/>
          <w:szCs w:val="22"/>
        </w:rPr>
        <w:t>traitement</w:t>
      </w:r>
      <w:proofErr w:type="spellEnd"/>
      <w:r w:rsidRPr="00962853">
        <w:rPr>
          <w:rFonts w:cstheme="minorHAnsi"/>
          <w:sz w:val="22"/>
          <w:szCs w:val="22"/>
        </w:rPr>
        <w:t xml:space="preserve">, le </w:t>
      </w:r>
      <w:proofErr w:type="spellStart"/>
      <w:r w:rsidRPr="00962853" w:rsidR="007954D8">
        <w:rPr>
          <w:rFonts w:cstheme="minorHAnsi"/>
          <w:sz w:val="22"/>
          <w:szCs w:val="22"/>
        </w:rPr>
        <w:t>département</w:t>
      </w:r>
      <w:proofErr w:type="spellEnd"/>
      <w:r w:rsidRPr="00962853" w:rsidR="007954D8">
        <w:rPr>
          <w:rFonts w:cstheme="minorHAnsi"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sz w:val="22"/>
          <w:szCs w:val="22"/>
        </w:rPr>
        <w:t>pharmacie</w:t>
      </w:r>
      <w:proofErr w:type="spellEnd"/>
      <w:r w:rsidRPr="00962853">
        <w:rPr>
          <w:rFonts w:cstheme="minorHAnsi"/>
          <w:sz w:val="22"/>
          <w:szCs w:val="22"/>
        </w:rPr>
        <w:t xml:space="preserve"> du </w:t>
      </w:r>
      <w:proofErr w:type="spellStart"/>
      <w:r w:rsidRPr="00962853">
        <w:rPr>
          <w:rFonts w:cstheme="minorHAnsi"/>
          <w:sz w:val="22"/>
          <w:szCs w:val="22"/>
        </w:rPr>
        <w:t>ministère</w:t>
      </w:r>
      <w:proofErr w:type="spellEnd"/>
      <w:r w:rsidRPr="00962853">
        <w:rPr>
          <w:rFonts w:cstheme="minorHAnsi"/>
          <w:sz w:val="22"/>
          <w:szCs w:val="22"/>
        </w:rPr>
        <w:t xml:space="preserve"> de la </w:t>
      </w:r>
      <w:proofErr w:type="spellStart"/>
      <w:r w:rsidRPr="00962853">
        <w:rPr>
          <w:rFonts w:cstheme="minorHAnsi"/>
          <w:sz w:val="22"/>
          <w:szCs w:val="22"/>
        </w:rPr>
        <w:t>santé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ainsi</w:t>
      </w:r>
      <w:proofErr w:type="spellEnd"/>
      <w:r w:rsidRPr="00962853">
        <w:rPr>
          <w:rFonts w:cstheme="minorHAnsi"/>
          <w:sz w:val="22"/>
          <w:szCs w:val="22"/>
        </w:rPr>
        <w:t xml:space="preserve"> que les </w:t>
      </w:r>
      <w:proofErr w:type="spellStart"/>
      <w:r w:rsidRPr="00962853">
        <w:rPr>
          <w:rFonts w:cstheme="minorHAnsi"/>
          <w:sz w:val="22"/>
          <w:szCs w:val="22"/>
        </w:rPr>
        <w:t>fournisseurs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d'assistance</w:t>
      </w:r>
      <w:proofErr w:type="spellEnd"/>
      <w:r w:rsidRPr="00962853">
        <w:rPr>
          <w:rFonts w:cstheme="minorHAnsi"/>
          <w:sz w:val="22"/>
          <w:szCs w:val="22"/>
        </w:rPr>
        <w:t xml:space="preserve"> technique à </w:t>
      </w:r>
      <w:proofErr w:type="spellStart"/>
      <w:r w:rsidRPr="00962853">
        <w:rPr>
          <w:rFonts w:cstheme="minorHAnsi"/>
          <w:sz w:val="22"/>
          <w:szCs w:val="22"/>
        </w:rPr>
        <w:t>planifier</w:t>
      </w:r>
      <w:proofErr w:type="spellEnd"/>
      <w:r w:rsidRPr="00962853">
        <w:rPr>
          <w:rFonts w:cstheme="minorHAnsi"/>
          <w:sz w:val="22"/>
          <w:szCs w:val="22"/>
        </w:rPr>
        <w:t xml:space="preserve"> et à </w:t>
      </w:r>
      <w:proofErr w:type="spellStart"/>
      <w:r w:rsidRPr="00962853">
        <w:rPr>
          <w:rFonts w:cstheme="minorHAnsi"/>
          <w:sz w:val="22"/>
          <w:szCs w:val="22"/>
        </w:rPr>
        <w:t>mettre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en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œuvre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une</w:t>
      </w:r>
      <w:proofErr w:type="spellEnd"/>
      <w:r w:rsidRPr="00962853">
        <w:rPr>
          <w:rFonts w:cstheme="minorHAnsi"/>
          <w:sz w:val="22"/>
          <w:szCs w:val="22"/>
        </w:rPr>
        <w:t xml:space="preserve"> transition </w:t>
      </w:r>
      <w:proofErr w:type="spellStart"/>
      <w:r w:rsidRPr="00962853">
        <w:rPr>
          <w:rFonts w:cstheme="minorHAnsi"/>
          <w:sz w:val="22"/>
          <w:szCs w:val="22"/>
        </w:rPr>
        <w:t>vers</w:t>
      </w:r>
      <w:proofErr w:type="spellEnd"/>
      <w:r w:rsidRPr="00962853">
        <w:rPr>
          <w:rFonts w:cstheme="minorHAnsi"/>
          <w:sz w:val="22"/>
          <w:szCs w:val="22"/>
        </w:rPr>
        <w:t xml:space="preserve"> le nouveau régime </w:t>
      </w:r>
      <w:proofErr w:type="spellStart"/>
      <w:r w:rsidRPr="00962853" w:rsidR="00275EBA">
        <w:rPr>
          <w:rFonts w:cstheme="minorHAnsi"/>
          <w:sz w:val="22"/>
          <w:szCs w:val="22"/>
        </w:rPr>
        <w:t>pédiatrique</w:t>
      </w:r>
      <w:proofErr w:type="spellEnd"/>
      <w:r w:rsidRPr="00962853" w:rsidR="00275EBA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préféré</w:t>
      </w:r>
      <w:proofErr w:type="spellEnd"/>
      <w:r w:rsidRPr="00962853">
        <w:rPr>
          <w:rFonts w:cstheme="minorHAnsi"/>
          <w:sz w:val="22"/>
          <w:szCs w:val="22"/>
        </w:rPr>
        <w:t>.</w:t>
      </w:r>
    </w:p>
    <w:p w:rsidRPr="00962853" w:rsidR="001E77C2" w:rsidP="00370DC1" w:rsidRDefault="001E77C2" w14:paraId="3A6FC544" w14:textId="4B27F5A3">
      <w:pPr>
        <w:pStyle w:val="EndnoteText"/>
        <w:spacing w:line="276" w:lineRule="auto"/>
        <w:contextualSpacing/>
        <w:jc w:val="both"/>
        <w:rPr>
          <w:rFonts w:cstheme="minorHAnsi"/>
          <w:sz w:val="22"/>
          <w:szCs w:val="22"/>
        </w:rPr>
      </w:pPr>
      <w:r w:rsidRPr="00962853">
        <w:rPr>
          <w:rFonts w:cstheme="minorHAnsi"/>
          <w:sz w:val="22"/>
          <w:szCs w:val="22"/>
        </w:rPr>
        <w:lastRenderedPageBreak/>
        <w:t xml:space="preserve">La mise </w:t>
      </w:r>
      <w:proofErr w:type="spellStart"/>
      <w:r w:rsidRPr="00962853">
        <w:rPr>
          <w:rFonts w:cstheme="minorHAnsi"/>
          <w:sz w:val="22"/>
          <w:szCs w:val="22"/>
        </w:rPr>
        <w:t>en</w:t>
      </w:r>
      <w:proofErr w:type="spellEnd"/>
      <w:r w:rsidRPr="00962853">
        <w:rPr>
          <w:rFonts w:cstheme="minorHAnsi"/>
          <w:sz w:val="22"/>
          <w:szCs w:val="22"/>
        </w:rPr>
        <w:t xml:space="preserve"> place d'un plan de transition </w:t>
      </w:r>
      <w:proofErr w:type="spellStart"/>
      <w:r w:rsidRPr="00962853">
        <w:rPr>
          <w:rFonts w:cstheme="minorHAnsi"/>
          <w:sz w:val="22"/>
          <w:szCs w:val="22"/>
        </w:rPr>
        <w:t>réduit</w:t>
      </w:r>
      <w:proofErr w:type="spellEnd"/>
      <w:r w:rsidRPr="00962853">
        <w:rPr>
          <w:rFonts w:cstheme="minorHAnsi"/>
          <w:sz w:val="22"/>
          <w:szCs w:val="22"/>
        </w:rPr>
        <w:t xml:space="preserve"> et </w:t>
      </w:r>
      <w:proofErr w:type="spellStart"/>
      <w:r w:rsidRPr="00962853">
        <w:rPr>
          <w:rFonts w:cstheme="minorHAnsi"/>
          <w:sz w:val="22"/>
          <w:szCs w:val="22"/>
        </w:rPr>
        <w:t>supprime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certains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risques</w:t>
      </w:r>
      <w:proofErr w:type="spellEnd"/>
      <w:r w:rsidRPr="00962853">
        <w:rPr>
          <w:rFonts w:cstheme="minorHAnsi"/>
          <w:sz w:val="22"/>
          <w:szCs w:val="22"/>
        </w:rPr>
        <w:t xml:space="preserve">. </w:t>
      </w:r>
      <w:proofErr w:type="spellStart"/>
      <w:r w:rsidRPr="00962853">
        <w:rPr>
          <w:rFonts w:cstheme="minorHAnsi"/>
          <w:sz w:val="22"/>
          <w:szCs w:val="22"/>
        </w:rPr>
        <w:t>Lorsque</w:t>
      </w:r>
      <w:proofErr w:type="spellEnd"/>
      <w:r w:rsidRPr="00962853">
        <w:rPr>
          <w:rFonts w:cstheme="minorHAnsi"/>
          <w:sz w:val="22"/>
          <w:szCs w:val="22"/>
        </w:rPr>
        <w:t xml:space="preserve"> de nouveaux régimes </w:t>
      </w:r>
      <w:proofErr w:type="spellStart"/>
      <w:r w:rsidRPr="00962853">
        <w:rPr>
          <w:rFonts w:cstheme="minorHAnsi"/>
          <w:sz w:val="22"/>
          <w:szCs w:val="22"/>
        </w:rPr>
        <w:t>sont</w:t>
      </w:r>
      <w:proofErr w:type="spellEnd"/>
      <w:r w:rsidRPr="00962853">
        <w:rPr>
          <w:rFonts w:cstheme="minorHAnsi"/>
          <w:sz w:val="22"/>
          <w:szCs w:val="22"/>
        </w:rPr>
        <w:t xml:space="preserve"> mis </w:t>
      </w:r>
      <w:proofErr w:type="spellStart"/>
      <w:r w:rsidRPr="00962853">
        <w:rPr>
          <w:rFonts w:cstheme="minorHAnsi"/>
          <w:sz w:val="22"/>
          <w:szCs w:val="22"/>
        </w:rPr>
        <w:t>en</w:t>
      </w:r>
      <w:proofErr w:type="spellEnd"/>
      <w:r w:rsidRPr="00962853">
        <w:rPr>
          <w:rFonts w:cstheme="minorHAnsi"/>
          <w:sz w:val="22"/>
          <w:szCs w:val="22"/>
        </w:rPr>
        <w:t xml:space="preserve"> place, il </w:t>
      </w:r>
      <w:proofErr w:type="spellStart"/>
      <w:r w:rsidRPr="00962853">
        <w:rPr>
          <w:rFonts w:cstheme="minorHAnsi"/>
          <w:sz w:val="22"/>
          <w:szCs w:val="22"/>
        </w:rPr>
        <w:t>est</w:t>
      </w:r>
      <w:proofErr w:type="spellEnd"/>
      <w:r w:rsidRPr="00962853">
        <w:rPr>
          <w:rFonts w:cstheme="minorHAnsi"/>
          <w:sz w:val="22"/>
          <w:szCs w:val="22"/>
        </w:rPr>
        <w:t xml:space="preserve"> important, par </w:t>
      </w:r>
      <w:proofErr w:type="spellStart"/>
      <w:r w:rsidRPr="00962853">
        <w:rPr>
          <w:rFonts w:cstheme="minorHAnsi"/>
          <w:sz w:val="22"/>
          <w:szCs w:val="22"/>
        </w:rPr>
        <w:t>exemple</w:t>
      </w:r>
      <w:proofErr w:type="spellEnd"/>
      <w:r w:rsidRPr="00962853">
        <w:rPr>
          <w:rFonts w:cstheme="minorHAnsi"/>
          <w:sz w:val="22"/>
          <w:szCs w:val="22"/>
        </w:rPr>
        <w:t xml:space="preserve">, </w:t>
      </w:r>
      <w:proofErr w:type="spellStart"/>
      <w:r w:rsidRPr="00962853">
        <w:rPr>
          <w:rFonts w:cstheme="minorHAnsi"/>
          <w:sz w:val="22"/>
          <w:szCs w:val="22"/>
        </w:rPr>
        <w:t>d'assurer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une</w:t>
      </w:r>
      <w:proofErr w:type="spellEnd"/>
      <w:r w:rsidRPr="00962853">
        <w:rPr>
          <w:rFonts w:cstheme="minorHAnsi"/>
          <w:sz w:val="22"/>
          <w:szCs w:val="22"/>
        </w:rPr>
        <w:t xml:space="preserve"> communication active avec les </w:t>
      </w:r>
      <w:proofErr w:type="spellStart"/>
      <w:r w:rsidRPr="00962853">
        <w:rPr>
          <w:rFonts w:cstheme="minorHAnsi"/>
          <w:sz w:val="22"/>
          <w:szCs w:val="22"/>
        </w:rPr>
        <w:t>travailleurs</w:t>
      </w:r>
      <w:proofErr w:type="spellEnd"/>
      <w:r w:rsidRPr="00962853">
        <w:rPr>
          <w:rFonts w:cstheme="minorHAnsi"/>
          <w:sz w:val="22"/>
          <w:szCs w:val="22"/>
        </w:rPr>
        <w:t xml:space="preserve"> de la </w:t>
      </w:r>
      <w:proofErr w:type="spellStart"/>
      <w:r w:rsidRPr="00962853">
        <w:rPr>
          <w:rFonts w:cstheme="minorHAnsi"/>
          <w:sz w:val="22"/>
          <w:szCs w:val="22"/>
        </w:rPr>
        <w:t>santé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r w:rsidR="00A735C3">
        <w:rPr>
          <w:rFonts w:cstheme="minorHAnsi"/>
          <w:sz w:val="22"/>
          <w:szCs w:val="22"/>
        </w:rPr>
        <w:t xml:space="preserve">(HCW) </w:t>
      </w:r>
      <w:r w:rsidRPr="00962853">
        <w:rPr>
          <w:rFonts w:cstheme="minorHAnsi"/>
          <w:sz w:val="22"/>
          <w:szCs w:val="22"/>
        </w:rPr>
        <w:t xml:space="preserve">et de </w:t>
      </w:r>
      <w:proofErr w:type="spellStart"/>
      <w:r w:rsidRPr="00962853">
        <w:rPr>
          <w:rFonts w:cstheme="minorHAnsi"/>
          <w:sz w:val="22"/>
          <w:szCs w:val="22"/>
        </w:rPr>
        <w:t>créer</w:t>
      </w:r>
      <w:proofErr w:type="spellEnd"/>
      <w:r w:rsidRPr="00962853">
        <w:rPr>
          <w:rFonts w:cstheme="minorHAnsi"/>
          <w:sz w:val="22"/>
          <w:szCs w:val="22"/>
        </w:rPr>
        <w:t xml:space="preserve"> un programme </w:t>
      </w:r>
      <w:proofErr w:type="spellStart"/>
      <w:r w:rsidRPr="00962853">
        <w:rPr>
          <w:rFonts w:cstheme="minorHAnsi"/>
          <w:sz w:val="22"/>
          <w:szCs w:val="22"/>
        </w:rPr>
        <w:t>d'</w:t>
      </w:r>
      <w:r w:rsidRPr="00962853" w:rsidR="00E726A2">
        <w:rPr>
          <w:rFonts w:cstheme="minorHAnsi"/>
          <w:sz w:val="22"/>
          <w:szCs w:val="22"/>
        </w:rPr>
        <w:t>orientation</w:t>
      </w:r>
      <w:proofErr w:type="spellEnd"/>
      <w:r w:rsidRPr="00962853" w:rsidR="00E726A2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complet</w:t>
      </w:r>
      <w:proofErr w:type="spellEnd"/>
      <w:r w:rsidRPr="00962853">
        <w:rPr>
          <w:rFonts w:cstheme="minorHAnsi"/>
          <w:sz w:val="22"/>
          <w:szCs w:val="22"/>
        </w:rPr>
        <w:t xml:space="preserve"> et </w:t>
      </w:r>
      <w:proofErr w:type="spellStart"/>
      <w:r w:rsidRPr="00962853">
        <w:rPr>
          <w:rFonts w:cstheme="minorHAnsi"/>
          <w:sz w:val="22"/>
          <w:szCs w:val="22"/>
        </w:rPr>
        <w:t>approprié</w:t>
      </w:r>
      <w:proofErr w:type="spellEnd"/>
      <w:r w:rsidRPr="00962853">
        <w:rPr>
          <w:rFonts w:cstheme="minorHAnsi"/>
          <w:sz w:val="22"/>
          <w:szCs w:val="22"/>
        </w:rPr>
        <w:t xml:space="preserve">. </w:t>
      </w:r>
      <w:r w:rsidRPr="00962853" w:rsidR="007E3184">
        <w:rPr>
          <w:rFonts w:cstheme="minorHAnsi"/>
          <w:sz w:val="22"/>
          <w:szCs w:val="22"/>
        </w:rPr>
        <w:t xml:space="preserve">De </w:t>
      </w:r>
      <w:proofErr w:type="spellStart"/>
      <w:r w:rsidRPr="00962853" w:rsidR="007E3184">
        <w:rPr>
          <w:rFonts w:cstheme="minorHAnsi"/>
          <w:sz w:val="22"/>
          <w:szCs w:val="22"/>
        </w:rPr>
        <w:t>même</w:t>
      </w:r>
      <w:proofErr w:type="spellEnd"/>
      <w:r w:rsidRPr="00962853" w:rsidR="007E3184">
        <w:rPr>
          <w:rFonts w:cstheme="minorHAnsi"/>
          <w:sz w:val="22"/>
          <w:szCs w:val="22"/>
        </w:rPr>
        <w:t xml:space="preserve">, la </w:t>
      </w:r>
      <w:proofErr w:type="spellStart"/>
      <w:r w:rsidR="00A735C3">
        <w:rPr>
          <w:rFonts w:cstheme="minorHAnsi"/>
          <w:sz w:val="22"/>
          <w:szCs w:val="22"/>
        </w:rPr>
        <w:t>prévision</w:t>
      </w:r>
      <w:proofErr w:type="spellEnd"/>
      <w:r w:rsidR="00A735C3">
        <w:rPr>
          <w:rFonts w:cstheme="minorHAnsi"/>
          <w:sz w:val="22"/>
          <w:szCs w:val="22"/>
        </w:rPr>
        <w:t xml:space="preserve"> et la </w:t>
      </w:r>
      <w:r w:rsidRPr="00962853">
        <w:rPr>
          <w:rFonts w:cstheme="minorHAnsi"/>
          <w:sz w:val="22"/>
          <w:szCs w:val="22"/>
        </w:rPr>
        <w:t xml:space="preserve">quantification, </w:t>
      </w:r>
      <w:proofErr w:type="spellStart"/>
      <w:r w:rsidRPr="00962853">
        <w:rPr>
          <w:rFonts w:cstheme="minorHAnsi"/>
          <w:sz w:val="22"/>
          <w:szCs w:val="22"/>
        </w:rPr>
        <w:t>en</w:t>
      </w:r>
      <w:proofErr w:type="spellEnd"/>
      <w:r w:rsidRPr="00962853">
        <w:rPr>
          <w:rFonts w:cstheme="minorHAnsi"/>
          <w:sz w:val="22"/>
          <w:szCs w:val="22"/>
        </w:rPr>
        <w:t xml:space="preserve"> particulier le </w:t>
      </w:r>
      <w:proofErr w:type="spellStart"/>
      <w:r w:rsidRPr="00962853">
        <w:rPr>
          <w:rFonts w:cstheme="minorHAnsi"/>
          <w:sz w:val="22"/>
          <w:szCs w:val="22"/>
        </w:rPr>
        <w:t>calendrier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d'achat</w:t>
      </w:r>
      <w:proofErr w:type="spellEnd"/>
      <w:r w:rsidRPr="00962853">
        <w:rPr>
          <w:rFonts w:cstheme="minorHAnsi"/>
          <w:sz w:val="22"/>
          <w:szCs w:val="22"/>
        </w:rPr>
        <w:t xml:space="preserve"> et de livraison des nouveaux </w:t>
      </w:r>
      <w:proofErr w:type="spellStart"/>
      <w:r w:rsidRPr="00962853">
        <w:rPr>
          <w:rFonts w:cstheme="minorHAnsi"/>
          <w:sz w:val="22"/>
          <w:szCs w:val="22"/>
        </w:rPr>
        <w:t>médicaments</w:t>
      </w:r>
      <w:proofErr w:type="spellEnd"/>
      <w:r w:rsidRPr="00962853">
        <w:rPr>
          <w:rFonts w:cstheme="minorHAnsi"/>
          <w:sz w:val="22"/>
          <w:szCs w:val="22"/>
        </w:rPr>
        <w:t xml:space="preserve">, </w:t>
      </w:r>
      <w:proofErr w:type="spellStart"/>
      <w:r w:rsidRPr="00962853">
        <w:rPr>
          <w:rFonts w:cstheme="minorHAnsi"/>
          <w:sz w:val="22"/>
          <w:szCs w:val="22"/>
        </w:rPr>
        <w:t>sont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importantes</w:t>
      </w:r>
      <w:proofErr w:type="spellEnd"/>
      <w:r w:rsidRPr="00962853">
        <w:rPr>
          <w:rFonts w:cstheme="minorHAnsi"/>
          <w:sz w:val="22"/>
          <w:szCs w:val="22"/>
        </w:rPr>
        <w:t xml:space="preserve"> pour </w:t>
      </w:r>
      <w:proofErr w:type="spellStart"/>
      <w:r w:rsidRPr="00962853">
        <w:rPr>
          <w:rFonts w:cstheme="minorHAnsi"/>
          <w:sz w:val="22"/>
          <w:szCs w:val="22"/>
        </w:rPr>
        <w:t>garantir</w:t>
      </w:r>
      <w:proofErr w:type="spellEnd"/>
      <w:r w:rsidRPr="00962853">
        <w:rPr>
          <w:rFonts w:cstheme="minorHAnsi"/>
          <w:sz w:val="22"/>
          <w:szCs w:val="22"/>
        </w:rPr>
        <w:t xml:space="preserve"> que </w:t>
      </w:r>
      <w:r w:rsidRPr="00962853" w:rsidR="007E3184">
        <w:rPr>
          <w:rFonts w:cstheme="minorHAnsi"/>
          <w:sz w:val="22"/>
          <w:szCs w:val="22"/>
        </w:rPr>
        <w:t xml:space="preserve">le pays </w:t>
      </w:r>
      <w:proofErr w:type="spellStart"/>
      <w:r w:rsidRPr="00962853" w:rsidR="007E3184">
        <w:rPr>
          <w:rFonts w:cstheme="minorHAnsi"/>
          <w:sz w:val="22"/>
          <w:szCs w:val="22"/>
        </w:rPr>
        <w:t>est</w:t>
      </w:r>
      <w:proofErr w:type="spellEnd"/>
      <w:r w:rsidRPr="00962853" w:rsidR="007E3184">
        <w:rPr>
          <w:rFonts w:cstheme="minorHAnsi"/>
          <w:sz w:val="22"/>
          <w:szCs w:val="22"/>
        </w:rPr>
        <w:t xml:space="preserve"> prêt à </w:t>
      </w:r>
      <w:proofErr w:type="spellStart"/>
      <w:r w:rsidRPr="00962853" w:rsidR="007E3184">
        <w:rPr>
          <w:rFonts w:cstheme="minorHAnsi"/>
          <w:sz w:val="22"/>
          <w:szCs w:val="22"/>
        </w:rPr>
        <w:t>entamer</w:t>
      </w:r>
      <w:proofErr w:type="spellEnd"/>
      <w:r w:rsidRPr="00962853" w:rsidR="007E3184">
        <w:rPr>
          <w:rFonts w:cstheme="minorHAnsi"/>
          <w:sz w:val="22"/>
          <w:szCs w:val="22"/>
        </w:rPr>
        <w:t xml:space="preserve"> la transition et </w:t>
      </w:r>
      <w:proofErr w:type="spellStart"/>
      <w:r w:rsidRPr="00962853" w:rsidR="007E3184">
        <w:rPr>
          <w:rFonts w:cstheme="minorHAnsi"/>
          <w:sz w:val="22"/>
          <w:szCs w:val="22"/>
        </w:rPr>
        <w:t>qu'il</w:t>
      </w:r>
      <w:proofErr w:type="spellEnd"/>
      <w:r w:rsidRPr="00962853" w:rsidR="007E3184">
        <w:rPr>
          <w:rFonts w:cstheme="minorHAnsi"/>
          <w:sz w:val="22"/>
          <w:szCs w:val="22"/>
        </w:rPr>
        <w:t xml:space="preserve"> </w:t>
      </w:r>
      <w:proofErr w:type="spellStart"/>
      <w:r w:rsidRPr="00962853" w:rsidR="007E3184">
        <w:rPr>
          <w:rFonts w:cstheme="minorHAnsi"/>
          <w:sz w:val="22"/>
          <w:szCs w:val="22"/>
        </w:rPr>
        <w:t>n'y</w:t>
      </w:r>
      <w:proofErr w:type="spellEnd"/>
      <w:r w:rsidRPr="00962853" w:rsidR="007E3184">
        <w:rPr>
          <w:rFonts w:cstheme="minorHAnsi"/>
          <w:sz w:val="22"/>
          <w:szCs w:val="22"/>
        </w:rPr>
        <w:t xml:space="preserve"> aura pas de </w:t>
      </w:r>
      <w:proofErr w:type="spellStart"/>
      <w:r w:rsidRPr="00962853" w:rsidR="007E3184">
        <w:rPr>
          <w:rFonts w:cstheme="minorHAnsi"/>
          <w:sz w:val="22"/>
          <w:szCs w:val="22"/>
        </w:rPr>
        <w:t>pénurie</w:t>
      </w:r>
      <w:proofErr w:type="spellEnd"/>
      <w:r w:rsidRPr="00962853" w:rsidR="007E3184">
        <w:rPr>
          <w:rFonts w:cstheme="minorHAnsi"/>
          <w:sz w:val="22"/>
          <w:szCs w:val="22"/>
        </w:rPr>
        <w:t xml:space="preserve">. </w:t>
      </w:r>
      <w:r w:rsidRPr="00962853">
        <w:rPr>
          <w:rFonts w:cstheme="minorHAnsi"/>
          <w:sz w:val="22"/>
          <w:szCs w:val="22"/>
        </w:rPr>
        <w:t xml:space="preserve">Les plans de quantification au </w:t>
      </w:r>
      <w:proofErr w:type="spellStart"/>
      <w:r w:rsidRPr="00962853">
        <w:rPr>
          <w:rFonts w:cstheme="minorHAnsi"/>
          <w:sz w:val="22"/>
          <w:szCs w:val="22"/>
        </w:rPr>
        <w:t>niveau</w:t>
      </w:r>
      <w:proofErr w:type="spellEnd"/>
      <w:r w:rsidRPr="00962853">
        <w:rPr>
          <w:rFonts w:cstheme="minorHAnsi"/>
          <w:sz w:val="22"/>
          <w:szCs w:val="22"/>
        </w:rPr>
        <w:t xml:space="preserve"> national </w:t>
      </w:r>
      <w:proofErr w:type="spellStart"/>
      <w:r w:rsidRPr="00962853">
        <w:rPr>
          <w:rFonts w:cstheme="minorHAnsi"/>
          <w:sz w:val="22"/>
          <w:szCs w:val="22"/>
        </w:rPr>
        <w:t>doivent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être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alignés</w:t>
      </w:r>
      <w:proofErr w:type="spellEnd"/>
      <w:r w:rsidRPr="00962853">
        <w:rPr>
          <w:rFonts w:cstheme="minorHAnsi"/>
          <w:sz w:val="22"/>
          <w:szCs w:val="22"/>
        </w:rPr>
        <w:t xml:space="preserve"> sur les plans de mise </w:t>
      </w:r>
      <w:proofErr w:type="spellStart"/>
      <w:r w:rsidRPr="00962853">
        <w:rPr>
          <w:rFonts w:cstheme="minorHAnsi"/>
          <w:sz w:val="22"/>
          <w:szCs w:val="22"/>
        </w:rPr>
        <w:t>en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œuvre</w:t>
      </w:r>
      <w:proofErr w:type="spellEnd"/>
      <w:r w:rsidRPr="00962853">
        <w:rPr>
          <w:rFonts w:cstheme="minorHAnsi"/>
          <w:sz w:val="22"/>
          <w:szCs w:val="22"/>
        </w:rPr>
        <w:t xml:space="preserve"> au </w:t>
      </w:r>
      <w:proofErr w:type="spellStart"/>
      <w:r w:rsidRPr="00962853">
        <w:rPr>
          <w:rFonts w:cstheme="minorHAnsi"/>
          <w:sz w:val="22"/>
          <w:szCs w:val="22"/>
        </w:rPr>
        <w:t>niveau</w:t>
      </w:r>
      <w:proofErr w:type="spellEnd"/>
      <w:r w:rsidRPr="00962853">
        <w:rPr>
          <w:rFonts w:cstheme="minorHAnsi"/>
          <w:sz w:val="22"/>
          <w:szCs w:val="22"/>
        </w:rPr>
        <w:t xml:space="preserve"> des </w:t>
      </w:r>
      <w:proofErr w:type="spellStart"/>
      <w:r w:rsidRPr="00962853">
        <w:rPr>
          <w:rFonts w:cstheme="minorHAnsi"/>
          <w:sz w:val="22"/>
          <w:szCs w:val="22"/>
        </w:rPr>
        <w:t>centres</w:t>
      </w:r>
      <w:proofErr w:type="spellEnd"/>
      <w:r w:rsidRPr="00962853">
        <w:rPr>
          <w:rFonts w:cstheme="minorHAnsi"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sz w:val="22"/>
          <w:szCs w:val="22"/>
        </w:rPr>
        <w:t>traitement</w:t>
      </w:r>
      <w:proofErr w:type="spellEnd"/>
      <w:r w:rsidRPr="00962853">
        <w:rPr>
          <w:rFonts w:cstheme="minorHAnsi"/>
          <w:sz w:val="22"/>
          <w:szCs w:val="22"/>
        </w:rPr>
        <w:t xml:space="preserve">. </w:t>
      </w:r>
      <w:r w:rsidRPr="00962853" w:rsidR="007E3184">
        <w:rPr>
          <w:rFonts w:cstheme="minorHAnsi"/>
          <w:sz w:val="22"/>
          <w:szCs w:val="22"/>
        </w:rPr>
        <w:t xml:space="preserve">Le </w:t>
      </w:r>
      <w:r w:rsidRPr="00BE1EB9" w:rsidR="00A735C3">
        <w:rPr>
          <w:rFonts w:cstheme="minorHAnsi"/>
          <w:sz w:val="22"/>
          <w:szCs w:val="22"/>
          <w:highlight w:val="yellow"/>
        </w:rPr>
        <w:t>[</w:t>
      </w:r>
      <w:proofErr w:type="spellStart"/>
      <w:r w:rsidRPr="00BE1EB9" w:rsidR="00A735C3">
        <w:rPr>
          <w:rFonts w:cstheme="minorHAnsi"/>
          <w:sz w:val="22"/>
          <w:szCs w:val="22"/>
          <w:highlight w:val="yellow"/>
        </w:rPr>
        <w:t>insérer</w:t>
      </w:r>
      <w:proofErr w:type="spellEnd"/>
      <w:r w:rsidRPr="00BE1EB9" w:rsidR="00A735C3">
        <w:rPr>
          <w:rFonts w:cstheme="minorHAnsi"/>
          <w:sz w:val="22"/>
          <w:szCs w:val="22"/>
          <w:highlight w:val="yellow"/>
        </w:rPr>
        <w:t xml:space="preserve"> le nom du </w:t>
      </w:r>
      <w:proofErr w:type="spellStart"/>
      <w:r w:rsidRPr="00BE1EB9" w:rsidR="00A735C3">
        <w:rPr>
          <w:rFonts w:cstheme="minorHAnsi"/>
          <w:sz w:val="22"/>
          <w:szCs w:val="22"/>
          <w:highlight w:val="yellow"/>
        </w:rPr>
        <w:t>groupe</w:t>
      </w:r>
      <w:proofErr w:type="spellEnd"/>
      <w:r w:rsidRPr="00BE1EB9" w:rsidR="00A735C3">
        <w:rPr>
          <w:rFonts w:cstheme="minorHAnsi"/>
          <w:sz w:val="22"/>
          <w:szCs w:val="22"/>
          <w:highlight w:val="yellow"/>
        </w:rPr>
        <w:t xml:space="preserve"> de travail] </w:t>
      </w:r>
      <w:r w:rsidRPr="00962853" w:rsidR="007E3184">
        <w:rPr>
          <w:rFonts w:cstheme="minorHAnsi"/>
          <w:sz w:val="22"/>
          <w:szCs w:val="22"/>
        </w:rPr>
        <w:t xml:space="preserve">a </w:t>
      </w:r>
      <w:proofErr w:type="spellStart"/>
      <w:r w:rsidRPr="00962853" w:rsidR="007E3184">
        <w:rPr>
          <w:rFonts w:cstheme="minorHAnsi"/>
          <w:sz w:val="22"/>
          <w:szCs w:val="22"/>
        </w:rPr>
        <w:t>examiné</w:t>
      </w:r>
      <w:proofErr w:type="spellEnd"/>
      <w:r w:rsidRPr="00962853" w:rsidR="007E3184">
        <w:rPr>
          <w:rFonts w:cstheme="minorHAnsi"/>
          <w:sz w:val="22"/>
          <w:szCs w:val="22"/>
        </w:rPr>
        <w:t xml:space="preserve"> </w:t>
      </w:r>
      <w:proofErr w:type="spellStart"/>
      <w:r w:rsidRPr="00962853" w:rsidR="007E3184">
        <w:rPr>
          <w:rFonts w:cstheme="minorHAnsi"/>
          <w:sz w:val="22"/>
          <w:szCs w:val="22"/>
        </w:rPr>
        <w:t>tous</w:t>
      </w:r>
      <w:proofErr w:type="spellEnd"/>
      <w:r w:rsidRPr="00962853" w:rsidR="007E3184">
        <w:rPr>
          <w:rFonts w:cstheme="minorHAnsi"/>
          <w:sz w:val="22"/>
          <w:szCs w:val="22"/>
        </w:rPr>
        <w:t xml:space="preserve"> les aspects de </w:t>
      </w:r>
      <w:proofErr w:type="spellStart"/>
      <w:r w:rsidRPr="00962853" w:rsidR="007E3184">
        <w:rPr>
          <w:rFonts w:cstheme="minorHAnsi"/>
          <w:sz w:val="22"/>
          <w:szCs w:val="22"/>
        </w:rPr>
        <w:t>l'</w:t>
      </w:r>
      <w:r w:rsidRPr="00962853" w:rsidR="00E3194B">
        <w:rPr>
          <w:rFonts w:cstheme="minorHAnsi"/>
          <w:sz w:val="22"/>
          <w:szCs w:val="22"/>
        </w:rPr>
        <w:t>introduction</w:t>
      </w:r>
      <w:proofErr w:type="spellEnd"/>
      <w:r w:rsidRPr="00962853" w:rsidR="00E3194B">
        <w:rPr>
          <w:rFonts w:cstheme="minorHAnsi"/>
          <w:sz w:val="22"/>
          <w:szCs w:val="22"/>
        </w:rPr>
        <w:t xml:space="preserve"> du pDTG </w:t>
      </w:r>
      <w:proofErr w:type="spellStart"/>
      <w:r w:rsidRPr="00962853" w:rsidR="007E3184">
        <w:rPr>
          <w:rFonts w:cstheme="minorHAnsi"/>
          <w:sz w:val="22"/>
          <w:szCs w:val="22"/>
        </w:rPr>
        <w:t>comme</w:t>
      </w:r>
      <w:proofErr w:type="spellEnd"/>
      <w:r w:rsidRPr="00962853" w:rsidR="007E3184">
        <w:rPr>
          <w:rFonts w:cstheme="minorHAnsi"/>
          <w:sz w:val="22"/>
          <w:szCs w:val="22"/>
        </w:rPr>
        <w:t xml:space="preserve"> régime </w:t>
      </w:r>
      <w:proofErr w:type="spellStart"/>
      <w:r w:rsidRPr="00962853" w:rsidR="00E3194B">
        <w:rPr>
          <w:rFonts w:cstheme="minorHAnsi"/>
          <w:sz w:val="22"/>
          <w:szCs w:val="22"/>
        </w:rPr>
        <w:t>pédiatrique</w:t>
      </w:r>
      <w:proofErr w:type="spellEnd"/>
      <w:r w:rsidRPr="00962853" w:rsidR="00E3194B">
        <w:rPr>
          <w:rFonts w:cstheme="minorHAnsi"/>
          <w:sz w:val="22"/>
          <w:szCs w:val="22"/>
        </w:rPr>
        <w:t xml:space="preserve"> </w:t>
      </w:r>
      <w:proofErr w:type="spellStart"/>
      <w:r w:rsidRPr="00962853" w:rsidR="007E3184">
        <w:rPr>
          <w:rFonts w:cstheme="minorHAnsi"/>
          <w:sz w:val="22"/>
          <w:szCs w:val="22"/>
        </w:rPr>
        <w:t>préféré</w:t>
      </w:r>
      <w:proofErr w:type="spellEnd"/>
      <w:r w:rsidRPr="00962853" w:rsidR="007E3184">
        <w:rPr>
          <w:rFonts w:cstheme="minorHAnsi"/>
          <w:sz w:val="22"/>
          <w:szCs w:val="22"/>
        </w:rPr>
        <w:t xml:space="preserve"> </w:t>
      </w:r>
      <w:r w:rsidRPr="00962853" w:rsidR="00E3194B">
        <w:rPr>
          <w:rFonts w:cstheme="minorHAnsi"/>
          <w:sz w:val="22"/>
          <w:szCs w:val="22"/>
        </w:rPr>
        <w:t xml:space="preserve">pour les enfants de </w:t>
      </w:r>
      <w:proofErr w:type="spellStart"/>
      <w:r w:rsidRPr="00962853" w:rsidR="00E3194B">
        <w:rPr>
          <w:rFonts w:cstheme="minorHAnsi"/>
          <w:sz w:val="22"/>
          <w:szCs w:val="22"/>
        </w:rPr>
        <w:t>moins</w:t>
      </w:r>
      <w:proofErr w:type="spellEnd"/>
      <w:r w:rsidRPr="00962853" w:rsidR="00E3194B">
        <w:rPr>
          <w:rFonts w:cstheme="minorHAnsi"/>
          <w:sz w:val="22"/>
          <w:szCs w:val="22"/>
        </w:rPr>
        <w:t xml:space="preserve"> de 20 kg et </w:t>
      </w:r>
      <w:r w:rsidRPr="00962853" w:rsidR="007E3184">
        <w:rPr>
          <w:rFonts w:cstheme="minorHAnsi"/>
          <w:sz w:val="22"/>
          <w:szCs w:val="22"/>
        </w:rPr>
        <w:t xml:space="preserve">le résumé du plan de transition </w:t>
      </w:r>
      <w:proofErr w:type="spellStart"/>
      <w:r w:rsidRPr="00962853" w:rsidR="007E3184">
        <w:rPr>
          <w:rFonts w:cstheme="minorHAnsi"/>
          <w:sz w:val="22"/>
          <w:szCs w:val="22"/>
        </w:rPr>
        <w:t>est</w:t>
      </w:r>
      <w:proofErr w:type="spellEnd"/>
      <w:r w:rsidRPr="00962853" w:rsidR="007E3184">
        <w:rPr>
          <w:rFonts w:cstheme="minorHAnsi"/>
          <w:sz w:val="22"/>
          <w:szCs w:val="22"/>
        </w:rPr>
        <w:t xml:space="preserve"> </w:t>
      </w:r>
      <w:proofErr w:type="spellStart"/>
      <w:r w:rsidRPr="00962853" w:rsidR="007E3184">
        <w:rPr>
          <w:rFonts w:cstheme="minorHAnsi"/>
          <w:sz w:val="22"/>
          <w:szCs w:val="22"/>
        </w:rPr>
        <w:t>détaillé</w:t>
      </w:r>
      <w:proofErr w:type="spellEnd"/>
      <w:r w:rsidRPr="00962853" w:rsidR="007E3184">
        <w:rPr>
          <w:rFonts w:cstheme="minorHAnsi"/>
          <w:sz w:val="22"/>
          <w:szCs w:val="22"/>
        </w:rPr>
        <w:t xml:space="preserve"> dans le </w:t>
      </w:r>
      <w:proofErr w:type="spellStart"/>
      <w:r w:rsidRPr="00962853" w:rsidR="007E3184">
        <w:rPr>
          <w:rFonts w:cstheme="minorHAnsi"/>
          <w:sz w:val="22"/>
          <w:szCs w:val="22"/>
        </w:rPr>
        <w:t>présent</w:t>
      </w:r>
      <w:proofErr w:type="spellEnd"/>
      <w:r w:rsidRPr="00962853" w:rsidR="007E3184">
        <w:rPr>
          <w:rFonts w:cstheme="minorHAnsi"/>
          <w:sz w:val="22"/>
          <w:szCs w:val="22"/>
        </w:rPr>
        <w:t xml:space="preserve"> document.</w:t>
      </w:r>
    </w:p>
    <w:p w:rsidRPr="00962853" w:rsidR="00566DD3" w:rsidP="00370DC1" w:rsidRDefault="00566DD3" w14:paraId="6CEF83DD" w14:textId="77777777">
      <w:pPr>
        <w:pStyle w:val="EndnoteText"/>
        <w:spacing w:line="276" w:lineRule="auto"/>
        <w:contextualSpacing/>
        <w:jc w:val="both"/>
        <w:rPr>
          <w:rFonts w:cstheme="minorHAnsi"/>
          <w:sz w:val="22"/>
          <w:szCs w:val="22"/>
        </w:rPr>
      </w:pPr>
    </w:p>
    <w:p w:rsidRPr="00962853" w:rsidR="00566DD3" w:rsidP="00370DC1" w:rsidRDefault="00566DD3" w14:paraId="689596B5" w14:textId="21F27AA3">
      <w:pPr>
        <w:pStyle w:val="EndnoteText"/>
        <w:spacing w:line="276" w:lineRule="auto"/>
        <w:contextualSpacing/>
        <w:jc w:val="both"/>
        <w:rPr>
          <w:rFonts w:cstheme="minorHAnsi"/>
          <w:sz w:val="22"/>
          <w:szCs w:val="22"/>
        </w:rPr>
      </w:pPr>
      <w:r w:rsidRPr="00962853">
        <w:rPr>
          <w:rFonts w:cstheme="minorHAnsi"/>
          <w:sz w:val="22"/>
          <w:szCs w:val="22"/>
        </w:rPr>
        <w:t xml:space="preserve">Le </w:t>
      </w:r>
      <w:proofErr w:type="spellStart"/>
      <w:r w:rsidRPr="00962853">
        <w:rPr>
          <w:rFonts w:cstheme="minorHAnsi"/>
          <w:sz w:val="22"/>
          <w:szCs w:val="22"/>
        </w:rPr>
        <w:t>présent</w:t>
      </w:r>
      <w:proofErr w:type="spellEnd"/>
      <w:r w:rsidRPr="00962853">
        <w:rPr>
          <w:rFonts w:cstheme="minorHAnsi"/>
          <w:sz w:val="22"/>
          <w:szCs w:val="22"/>
        </w:rPr>
        <w:t xml:space="preserve"> document a pour </w:t>
      </w:r>
      <w:proofErr w:type="spellStart"/>
      <w:r w:rsidRPr="00962853">
        <w:rPr>
          <w:rFonts w:cstheme="minorHAnsi"/>
          <w:sz w:val="22"/>
          <w:szCs w:val="22"/>
        </w:rPr>
        <w:t>objet</w:t>
      </w:r>
      <w:proofErr w:type="spellEnd"/>
      <w:r w:rsidRPr="00962853">
        <w:rPr>
          <w:rFonts w:cstheme="minorHAnsi"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sz w:val="22"/>
          <w:szCs w:val="22"/>
        </w:rPr>
        <w:t>fournir</w:t>
      </w:r>
      <w:proofErr w:type="spellEnd"/>
      <w:r w:rsidRPr="00962853">
        <w:rPr>
          <w:rFonts w:cstheme="minorHAnsi"/>
          <w:sz w:val="22"/>
          <w:szCs w:val="22"/>
        </w:rPr>
        <w:t xml:space="preserve"> des </w:t>
      </w:r>
      <w:proofErr w:type="spellStart"/>
      <w:r w:rsidRPr="00962853">
        <w:rPr>
          <w:rFonts w:cstheme="minorHAnsi"/>
          <w:sz w:val="22"/>
          <w:szCs w:val="22"/>
        </w:rPr>
        <w:t>informations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clés</w:t>
      </w:r>
      <w:proofErr w:type="spellEnd"/>
      <w:r w:rsidRPr="00962853">
        <w:rPr>
          <w:rFonts w:cstheme="minorHAnsi"/>
          <w:sz w:val="22"/>
          <w:szCs w:val="22"/>
        </w:rPr>
        <w:t xml:space="preserve"> sur </w:t>
      </w:r>
      <w:proofErr w:type="spellStart"/>
      <w:r w:rsidRPr="00962853">
        <w:rPr>
          <w:rFonts w:cstheme="minorHAnsi"/>
          <w:sz w:val="22"/>
          <w:szCs w:val="22"/>
        </w:rPr>
        <w:t>tous</w:t>
      </w:r>
      <w:proofErr w:type="spellEnd"/>
      <w:r w:rsidRPr="00962853">
        <w:rPr>
          <w:rFonts w:cstheme="minorHAnsi"/>
          <w:sz w:val="22"/>
          <w:szCs w:val="22"/>
        </w:rPr>
        <w:t xml:space="preserve"> les aspects </w:t>
      </w:r>
      <w:proofErr w:type="spellStart"/>
      <w:r w:rsidRPr="00962853">
        <w:rPr>
          <w:rFonts w:cstheme="minorHAnsi"/>
          <w:sz w:val="22"/>
          <w:szCs w:val="22"/>
        </w:rPr>
        <w:t>liés</w:t>
      </w:r>
      <w:proofErr w:type="spellEnd"/>
      <w:r w:rsidRPr="00962853">
        <w:rPr>
          <w:rFonts w:cstheme="minorHAnsi"/>
          <w:sz w:val="22"/>
          <w:szCs w:val="22"/>
        </w:rPr>
        <w:t xml:space="preserve"> à </w:t>
      </w:r>
      <w:proofErr w:type="spellStart"/>
      <w:r w:rsidRPr="00962853">
        <w:rPr>
          <w:rFonts w:cstheme="minorHAnsi"/>
          <w:sz w:val="22"/>
          <w:szCs w:val="22"/>
        </w:rPr>
        <w:t>l'introduction</w:t>
      </w:r>
      <w:proofErr w:type="spellEnd"/>
      <w:r w:rsidRPr="00962853">
        <w:rPr>
          <w:rFonts w:cstheme="minorHAnsi"/>
          <w:sz w:val="22"/>
          <w:szCs w:val="22"/>
        </w:rPr>
        <w:t xml:space="preserve"> de la </w:t>
      </w:r>
      <w:proofErr w:type="spellStart"/>
      <w:r w:rsidRPr="00962853" w:rsidR="008C59C7">
        <w:rPr>
          <w:rFonts w:cstheme="minorHAnsi"/>
          <w:sz w:val="22"/>
          <w:szCs w:val="22"/>
        </w:rPr>
        <w:t>GDTp</w:t>
      </w:r>
      <w:proofErr w:type="spellEnd"/>
      <w:r w:rsidRPr="00962853" w:rsidR="008C59C7">
        <w:rPr>
          <w:rFonts w:cstheme="minorHAnsi"/>
          <w:sz w:val="22"/>
          <w:szCs w:val="22"/>
        </w:rPr>
        <w:t xml:space="preserve"> </w:t>
      </w:r>
      <w:r w:rsidRPr="00D7705A">
        <w:rPr>
          <w:rFonts w:cstheme="minorHAnsi"/>
          <w:sz w:val="22"/>
          <w:szCs w:val="22"/>
        </w:rPr>
        <w:t xml:space="preserve">dans le </w:t>
      </w:r>
      <w:r w:rsidRPr="006D7D7F" w:rsidR="008C59C7">
        <w:rPr>
          <w:rFonts w:cstheme="minorHAnsi"/>
          <w:sz w:val="22"/>
          <w:szCs w:val="22"/>
          <w:highlight w:val="yellow"/>
        </w:rPr>
        <w:t>pays X</w:t>
      </w:r>
      <w:r w:rsidRPr="00D7705A">
        <w:rPr>
          <w:rFonts w:cstheme="minorHAnsi"/>
          <w:sz w:val="22"/>
          <w:szCs w:val="22"/>
        </w:rPr>
        <w:t xml:space="preserve">. </w:t>
      </w:r>
      <w:r w:rsidRPr="00962853">
        <w:rPr>
          <w:rFonts w:cstheme="minorHAnsi"/>
          <w:sz w:val="22"/>
          <w:szCs w:val="22"/>
        </w:rPr>
        <w:t xml:space="preserve">Les </w:t>
      </w:r>
      <w:proofErr w:type="spellStart"/>
      <w:r w:rsidRPr="00962853">
        <w:rPr>
          <w:rFonts w:cstheme="minorHAnsi"/>
          <w:sz w:val="22"/>
          <w:szCs w:val="22"/>
        </w:rPr>
        <w:t>principales</w:t>
      </w:r>
      <w:proofErr w:type="spellEnd"/>
      <w:r w:rsidRPr="00962853">
        <w:rPr>
          <w:rFonts w:cstheme="minorHAnsi"/>
          <w:sz w:val="22"/>
          <w:szCs w:val="22"/>
        </w:rPr>
        <w:t xml:space="preserve"> sections de </w:t>
      </w:r>
      <w:proofErr w:type="spellStart"/>
      <w:r w:rsidRPr="00962853">
        <w:rPr>
          <w:rFonts w:cstheme="minorHAnsi"/>
          <w:sz w:val="22"/>
          <w:szCs w:val="22"/>
        </w:rPr>
        <w:t>ce</w:t>
      </w:r>
      <w:proofErr w:type="spellEnd"/>
      <w:r w:rsidRPr="00962853">
        <w:rPr>
          <w:rFonts w:cstheme="minorHAnsi"/>
          <w:sz w:val="22"/>
          <w:szCs w:val="22"/>
        </w:rPr>
        <w:t xml:space="preserve"> document </w:t>
      </w:r>
      <w:proofErr w:type="spellStart"/>
      <w:r w:rsidRPr="00962853">
        <w:rPr>
          <w:rFonts w:cstheme="minorHAnsi"/>
          <w:sz w:val="22"/>
          <w:szCs w:val="22"/>
        </w:rPr>
        <w:t>sont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présentées</w:t>
      </w:r>
      <w:proofErr w:type="spellEnd"/>
      <w:r w:rsidRPr="00962853">
        <w:rPr>
          <w:rFonts w:cstheme="minorHAnsi"/>
          <w:sz w:val="22"/>
          <w:szCs w:val="22"/>
        </w:rPr>
        <w:t xml:space="preserve"> dans </w:t>
      </w:r>
      <w:proofErr w:type="spellStart"/>
      <w:r w:rsidRPr="00962853">
        <w:rPr>
          <w:rFonts w:cstheme="minorHAnsi"/>
          <w:sz w:val="22"/>
          <w:szCs w:val="22"/>
        </w:rPr>
        <w:t>l'ordre</w:t>
      </w:r>
      <w:proofErr w:type="spellEnd"/>
      <w:r w:rsidRPr="00962853">
        <w:rPr>
          <w:rFonts w:cstheme="minorHAnsi"/>
          <w:sz w:val="22"/>
          <w:szCs w:val="22"/>
        </w:rPr>
        <w:t xml:space="preserve"> ci-dessous :</w:t>
      </w:r>
    </w:p>
    <w:p w:rsidRPr="00962853" w:rsidR="00566DD3" w:rsidP="00370DC1" w:rsidRDefault="00566DD3" w14:paraId="4DC39CFB" w14:textId="77777777">
      <w:pPr>
        <w:pStyle w:val="EndnoteText"/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  <w:sz w:val="22"/>
          <w:szCs w:val="22"/>
        </w:rPr>
      </w:pPr>
      <w:r w:rsidRPr="00962853">
        <w:rPr>
          <w:rFonts w:cstheme="minorHAnsi"/>
          <w:sz w:val="22"/>
          <w:szCs w:val="22"/>
        </w:rPr>
        <w:t xml:space="preserve">Plan </w:t>
      </w:r>
      <w:proofErr w:type="spellStart"/>
      <w:r w:rsidRPr="00962853">
        <w:rPr>
          <w:rFonts w:cstheme="minorHAnsi"/>
          <w:sz w:val="22"/>
          <w:szCs w:val="22"/>
        </w:rPr>
        <w:t>d'introduction</w:t>
      </w:r>
      <w:proofErr w:type="spellEnd"/>
      <w:r w:rsidRPr="00962853">
        <w:rPr>
          <w:rFonts w:cstheme="minorHAnsi"/>
          <w:sz w:val="22"/>
          <w:szCs w:val="22"/>
        </w:rPr>
        <w:t xml:space="preserve"> de haut </w:t>
      </w:r>
      <w:proofErr w:type="spellStart"/>
      <w:r w:rsidRPr="00962853">
        <w:rPr>
          <w:rFonts w:cstheme="minorHAnsi"/>
          <w:sz w:val="22"/>
          <w:szCs w:val="22"/>
        </w:rPr>
        <w:t>niveau</w:t>
      </w:r>
      <w:proofErr w:type="spellEnd"/>
    </w:p>
    <w:p w:rsidRPr="00962853" w:rsidR="00566DD3" w:rsidP="00370DC1" w:rsidRDefault="00566DD3" w14:paraId="646A335B" w14:textId="77777777">
      <w:pPr>
        <w:pStyle w:val="EndnoteText"/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  <w:sz w:val="22"/>
          <w:szCs w:val="22"/>
        </w:rPr>
      </w:pPr>
      <w:proofErr w:type="spellStart"/>
      <w:r w:rsidRPr="00962853">
        <w:rPr>
          <w:rFonts w:cstheme="minorHAnsi"/>
          <w:sz w:val="22"/>
          <w:szCs w:val="22"/>
        </w:rPr>
        <w:t>Procédés</w:t>
      </w:r>
      <w:proofErr w:type="spellEnd"/>
      <w:r w:rsidRPr="00962853">
        <w:rPr>
          <w:rFonts w:cstheme="minorHAnsi"/>
          <w:sz w:val="22"/>
          <w:szCs w:val="22"/>
        </w:rPr>
        <w:t xml:space="preserve"> techniques</w:t>
      </w:r>
    </w:p>
    <w:p w:rsidRPr="00962853" w:rsidR="00566DD3" w:rsidP="00370DC1" w:rsidRDefault="00566DD3" w14:paraId="594112A8" w14:textId="77777777">
      <w:pPr>
        <w:pStyle w:val="EndnoteText"/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  <w:sz w:val="22"/>
          <w:szCs w:val="22"/>
        </w:rPr>
      </w:pPr>
      <w:proofErr w:type="spellStart"/>
      <w:r w:rsidRPr="00962853">
        <w:rPr>
          <w:rFonts w:cstheme="minorHAnsi"/>
          <w:sz w:val="22"/>
          <w:szCs w:val="22"/>
        </w:rPr>
        <w:t>Prévisions</w:t>
      </w:r>
      <w:proofErr w:type="spellEnd"/>
      <w:r w:rsidRPr="00962853">
        <w:rPr>
          <w:rFonts w:cstheme="minorHAnsi"/>
          <w:sz w:val="22"/>
          <w:szCs w:val="22"/>
        </w:rPr>
        <w:t xml:space="preserve">, quantification et </w:t>
      </w:r>
      <w:proofErr w:type="spellStart"/>
      <w:r w:rsidRPr="00962853">
        <w:rPr>
          <w:rFonts w:cstheme="minorHAnsi"/>
          <w:sz w:val="22"/>
          <w:szCs w:val="22"/>
        </w:rPr>
        <w:t>marchés</w:t>
      </w:r>
      <w:proofErr w:type="spellEnd"/>
      <w:r w:rsidRPr="00962853">
        <w:rPr>
          <w:rFonts w:cstheme="minorHAnsi"/>
          <w:sz w:val="22"/>
          <w:szCs w:val="22"/>
        </w:rPr>
        <w:t xml:space="preserve"> publics</w:t>
      </w:r>
    </w:p>
    <w:p w:rsidRPr="00962853" w:rsidR="00566DD3" w:rsidP="00370DC1" w:rsidRDefault="00566DD3" w14:paraId="3075A6C0" w14:textId="6123A521">
      <w:pPr>
        <w:pStyle w:val="EndnoteText"/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  <w:sz w:val="22"/>
          <w:szCs w:val="22"/>
        </w:rPr>
      </w:pPr>
      <w:r w:rsidRPr="00962853">
        <w:rPr>
          <w:rFonts w:cstheme="minorHAnsi"/>
          <w:sz w:val="22"/>
          <w:szCs w:val="22"/>
        </w:rPr>
        <w:t xml:space="preserve">Plan de </w:t>
      </w:r>
      <w:r w:rsidR="008E08B3">
        <w:rPr>
          <w:rFonts w:cstheme="minorHAnsi"/>
          <w:sz w:val="22"/>
          <w:szCs w:val="22"/>
        </w:rPr>
        <w:t>formation</w:t>
      </w:r>
    </w:p>
    <w:p w:rsidRPr="00962853" w:rsidR="00566DD3" w:rsidP="00370DC1" w:rsidRDefault="00566DD3" w14:paraId="2C8AE6EC" w14:textId="5D156F0F">
      <w:pPr>
        <w:pStyle w:val="EndnoteText"/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  <w:sz w:val="22"/>
          <w:szCs w:val="22"/>
        </w:rPr>
      </w:pPr>
      <w:proofErr w:type="spellStart"/>
      <w:r w:rsidRPr="00962853">
        <w:rPr>
          <w:rFonts w:cstheme="minorHAnsi"/>
          <w:sz w:val="22"/>
          <w:szCs w:val="22"/>
        </w:rPr>
        <w:t>Suivi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r w:rsidR="00446011">
        <w:rPr>
          <w:rFonts w:cstheme="minorHAnsi"/>
          <w:sz w:val="22"/>
          <w:szCs w:val="22"/>
        </w:rPr>
        <w:t xml:space="preserve">et </w:t>
      </w:r>
      <w:proofErr w:type="spellStart"/>
      <w:r w:rsidR="00446011">
        <w:rPr>
          <w:rFonts w:cstheme="minorHAnsi"/>
          <w:sz w:val="22"/>
          <w:szCs w:val="22"/>
        </w:rPr>
        <w:t>évaluation</w:t>
      </w:r>
      <w:proofErr w:type="spellEnd"/>
    </w:p>
    <w:p w:rsidRPr="00962853" w:rsidR="00566DD3" w:rsidP="00370DC1" w:rsidRDefault="00566DD3" w14:paraId="67C9B709" w14:textId="6F381D37">
      <w:pPr>
        <w:pStyle w:val="EndnoteText"/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  <w:sz w:val="22"/>
          <w:szCs w:val="22"/>
        </w:rPr>
      </w:pPr>
      <w:r w:rsidRPr="00962853">
        <w:rPr>
          <w:rFonts w:cstheme="minorHAnsi"/>
          <w:sz w:val="22"/>
          <w:szCs w:val="22"/>
        </w:rPr>
        <w:t xml:space="preserve">Pharmacovigilance </w:t>
      </w:r>
      <w:r w:rsidR="000D41E2">
        <w:rPr>
          <w:rFonts w:cstheme="minorHAnsi"/>
          <w:sz w:val="22"/>
          <w:szCs w:val="22"/>
        </w:rPr>
        <w:t xml:space="preserve">et </w:t>
      </w:r>
      <w:r w:rsidRPr="00962853" w:rsidR="00DC7FB9">
        <w:rPr>
          <w:rFonts w:cstheme="minorHAnsi"/>
          <w:sz w:val="22"/>
          <w:szCs w:val="22"/>
        </w:rPr>
        <w:t xml:space="preserve">surveillance de la </w:t>
      </w:r>
      <w:proofErr w:type="spellStart"/>
      <w:r w:rsidRPr="00962853" w:rsidR="00DC7FB9">
        <w:rPr>
          <w:rFonts w:cstheme="minorHAnsi"/>
          <w:sz w:val="22"/>
          <w:szCs w:val="22"/>
        </w:rPr>
        <w:t>résistance</w:t>
      </w:r>
      <w:proofErr w:type="spellEnd"/>
      <w:r w:rsidRPr="00962853" w:rsidR="00DC7FB9">
        <w:rPr>
          <w:rFonts w:cstheme="minorHAnsi"/>
          <w:sz w:val="22"/>
          <w:szCs w:val="22"/>
        </w:rPr>
        <w:t xml:space="preserve"> aux </w:t>
      </w:r>
      <w:proofErr w:type="spellStart"/>
      <w:r w:rsidRPr="00962853" w:rsidR="00DC7FB9">
        <w:rPr>
          <w:rFonts w:cstheme="minorHAnsi"/>
          <w:sz w:val="22"/>
          <w:szCs w:val="22"/>
        </w:rPr>
        <w:t>médicaments</w:t>
      </w:r>
      <w:proofErr w:type="spellEnd"/>
    </w:p>
    <w:p w:rsidR="00566DD3" w:rsidP="00370DC1" w:rsidRDefault="00566DD3" w14:paraId="407FC32A" w14:textId="6F054CD4">
      <w:pPr>
        <w:pStyle w:val="EndnoteText"/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  <w:sz w:val="22"/>
          <w:szCs w:val="22"/>
        </w:rPr>
      </w:pPr>
      <w:proofErr w:type="spellStart"/>
      <w:r w:rsidRPr="00962853">
        <w:rPr>
          <w:rFonts w:cstheme="minorHAnsi"/>
          <w:sz w:val="22"/>
          <w:szCs w:val="22"/>
        </w:rPr>
        <w:t>Risques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anticipés</w:t>
      </w:r>
      <w:proofErr w:type="spellEnd"/>
      <w:r w:rsidRPr="00962853">
        <w:rPr>
          <w:rFonts w:cstheme="minorHAnsi"/>
          <w:sz w:val="22"/>
          <w:szCs w:val="22"/>
        </w:rPr>
        <w:t xml:space="preserve"> et </w:t>
      </w:r>
      <w:proofErr w:type="spellStart"/>
      <w:r w:rsidRPr="00962853">
        <w:rPr>
          <w:rFonts w:cstheme="minorHAnsi"/>
          <w:sz w:val="22"/>
          <w:szCs w:val="22"/>
        </w:rPr>
        <w:t>stratégie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d'atténuation</w:t>
      </w:r>
      <w:proofErr w:type="spellEnd"/>
    </w:p>
    <w:p w:rsidRPr="00962853" w:rsidR="00020CE2" w:rsidP="00370DC1" w:rsidRDefault="00020CE2" w14:paraId="396155AE" w14:textId="423F23C7">
      <w:pPr>
        <w:pStyle w:val="EndnoteText"/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Rôles</w:t>
      </w:r>
      <w:proofErr w:type="spellEnd"/>
      <w:r>
        <w:rPr>
          <w:rFonts w:cstheme="minorHAnsi"/>
          <w:sz w:val="22"/>
          <w:szCs w:val="22"/>
        </w:rPr>
        <w:t xml:space="preserve"> et </w:t>
      </w:r>
      <w:proofErr w:type="spellStart"/>
      <w:r>
        <w:rPr>
          <w:rFonts w:cstheme="minorHAnsi"/>
          <w:sz w:val="22"/>
          <w:szCs w:val="22"/>
        </w:rPr>
        <w:t>responsabilités</w:t>
      </w:r>
      <w:proofErr w:type="spellEnd"/>
    </w:p>
    <w:p w:rsidRPr="00962853" w:rsidR="00646740" w:rsidP="00370DC1" w:rsidRDefault="00566DD3" w14:paraId="5FAB29B5" w14:textId="56C5B4E6">
      <w:pPr>
        <w:pStyle w:val="EndnoteText"/>
        <w:numPr>
          <w:ilvl w:val="0"/>
          <w:numId w:val="19"/>
        </w:numPr>
        <w:spacing w:after="120" w:line="276" w:lineRule="auto"/>
        <w:contextualSpacing/>
        <w:jc w:val="both"/>
        <w:rPr>
          <w:rFonts w:cstheme="minorHAnsi"/>
          <w:sz w:val="22"/>
          <w:szCs w:val="22"/>
        </w:rPr>
      </w:pPr>
      <w:proofErr w:type="spellStart"/>
      <w:r w:rsidRPr="00962853">
        <w:rPr>
          <w:rFonts w:cstheme="minorHAnsi"/>
          <w:sz w:val="22"/>
          <w:szCs w:val="22"/>
        </w:rPr>
        <w:t>Sélection</w:t>
      </w:r>
      <w:proofErr w:type="spellEnd"/>
      <w:r w:rsidRPr="00962853">
        <w:rPr>
          <w:rFonts w:cstheme="minorHAnsi"/>
          <w:sz w:val="22"/>
          <w:szCs w:val="22"/>
        </w:rPr>
        <w:t xml:space="preserve"> de sites pour </w:t>
      </w:r>
      <w:proofErr w:type="spellStart"/>
      <w:r w:rsidRPr="00962853">
        <w:rPr>
          <w:rFonts w:cstheme="minorHAnsi"/>
          <w:sz w:val="22"/>
          <w:szCs w:val="22"/>
        </w:rPr>
        <w:t>l'introduction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r w:rsidRPr="00962853" w:rsidR="0065730D">
        <w:rPr>
          <w:rFonts w:cstheme="minorHAnsi"/>
          <w:sz w:val="22"/>
          <w:szCs w:val="22"/>
        </w:rPr>
        <w:t xml:space="preserve">et </w:t>
      </w:r>
      <w:proofErr w:type="spellStart"/>
      <w:r w:rsidRPr="00962853" w:rsidR="0065730D">
        <w:rPr>
          <w:rFonts w:cstheme="minorHAnsi"/>
          <w:sz w:val="22"/>
          <w:szCs w:val="22"/>
        </w:rPr>
        <w:t>l'extension</w:t>
      </w:r>
      <w:proofErr w:type="spellEnd"/>
      <w:r w:rsidRPr="00962853" w:rsidR="0065730D">
        <w:rPr>
          <w:rFonts w:cstheme="minorHAnsi"/>
          <w:sz w:val="22"/>
          <w:szCs w:val="22"/>
        </w:rPr>
        <w:t xml:space="preserve"> du </w:t>
      </w:r>
      <w:r w:rsidRPr="00962853" w:rsidR="00C27463">
        <w:rPr>
          <w:rFonts w:cstheme="minorHAnsi"/>
          <w:sz w:val="22"/>
          <w:szCs w:val="22"/>
        </w:rPr>
        <w:t>GTPD</w:t>
      </w:r>
    </w:p>
    <w:p w:rsidRPr="007F5C54" w:rsidR="00C832A5" w:rsidP="00370DC1" w:rsidRDefault="00E13A52" w14:paraId="446BF1D9" w14:textId="77777777">
      <w:pPr>
        <w:pStyle w:val="Heading1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commentRangeStart w:id="2"/>
      <w:r w:rsidRPr="007F5C54">
        <w:rPr>
          <w:rFonts w:asciiTheme="minorHAnsi" w:hAnsiTheme="minorHAnsi" w:cstheme="minorHAnsi"/>
        </w:rPr>
        <w:t xml:space="preserve">Plan </w:t>
      </w:r>
      <w:proofErr w:type="spellStart"/>
      <w:r w:rsidRPr="007F5C54">
        <w:rPr>
          <w:rFonts w:asciiTheme="minorHAnsi" w:hAnsiTheme="minorHAnsi" w:cstheme="minorHAnsi"/>
        </w:rPr>
        <w:t>d'introduction</w:t>
      </w:r>
      <w:proofErr w:type="spellEnd"/>
      <w:r w:rsidRPr="007F5C54">
        <w:rPr>
          <w:rFonts w:asciiTheme="minorHAnsi" w:hAnsiTheme="minorHAnsi" w:cstheme="minorHAnsi"/>
        </w:rPr>
        <w:t xml:space="preserve"> de haut </w:t>
      </w:r>
      <w:proofErr w:type="spellStart"/>
      <w:r w:rsidRPr="007F5C54">
        <w:rPr>
          <w:rFonts w:asciiTheme="minorHAnsi" w:hAnsiTheme="minorHAnsi" w:cstheme="minorHAnsi"/>
        </w:rPr>
        <w:t>niveau</w:t>
      </w:r>
      <w:proofErr w:type="spellEnd"/>
      <w:r w:rsidRPr="007F5C54">
        <w:rPr>
          <w:rFonts w:asciiTheme="minorHAnsi" w:hAnsiTheme="minorHAnsi" w:cstheme="minorHAnsi"/>
        </w:rPr>
        <w:t xml:space="preserve"> </w:t>
      </w:r>
      <w:commentRangeEnd w:id="2"/>
      <w:r w:rsidR="006D7D7F">
        <w:rPr>
          <w:rStyle w:val="CommentReference"/>
          <w:rFonts w:asciiTheme="minorHAnsi" w:hAnsiTheme="minorHAnsi" w:eastAsiaTheme="minorHAnsi" w:cstheme="minorBidi"/>
          <w:color w:val="auto"/>
        </w:rPr>
        <w:commentReference w:id="2"/>
      </w:r>
    </w:p>
    <w:p w:rsidRPr="00962853" w:rsidR="00E13A52" w:rsidP="00370DC1" w:rsidRDefault="00193F00" w14:paraId="71F4D81E" w14:textId="03426634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  <w:r w:rsidRPr="006E7E89">
        <w:rPr>
          <w:rFonts w:cstheme="minorHAnsi"/>
          <w:i/>
          <w:iCs/>
          <w:sz w:val="22"/>
          <w:szCs w:val="22"/>
          <w:highlight w:val="yellow"/>
        </w:rPr>
        <w:t>[</w:t>
      </w:r>
      <w:proofErr w:type="spellStart"/>
      <w:r w:rsidRPr="006E7E89">
        <w:rPr>
          <w:rFonts w:cstheme="minorHAnsi"/>
          <w:i/>
          <w:iCs/>
          <w:sz w:val="22"/>
          <w:szCs w:val="22"/>
          <w:highlight w:val="yellow"/>
        </w:rPr>
        <w:t>Créer</w:t>
      </w:r>
      <w:proofErr w:type="spellEnd"/>
      <w:r w:rsidRPr="006E7E89" w:rsidR="007A196E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proofErr w:type="spellStart"/>
      <w:r w:rsidRPr="006E7E89" w:rsidR="007A196E">
        <w:rPr>
          <w:rFonts w:cstheme="minorHAnsi"/>
          <w:i/>
          <w:iCs/>
          <w:sz w:val="22"/>
          <w:szCs w:val="22"/>
          <w:highlight w:val="yellow"/>
        </w:rPr>
        <w:t>éventuellement</w:t>
      </w:r>
      <w:proofErr w:type="spellEnd"/>
      <w:r w:rsidRPr="006E7E89" w:rsidR="007A196E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r w:rsidRPr="006E7E89">
        <w:rPr>
          <w:rFonts w:cstheme="minorHAnsi"/>
          <w:i/>
          <w:iCs/>
          <w:sz w:val="22"/>
          <w:szCs w:val="22"/>
          <w:highlight w:val="yellow"/>
        </w:rPr>
        <w:t xml:space="preserve">un </w:t>
      </w:r>
      <w:proofErr w:type="spellStart"/>
      <w:r w:rsidRPr="006E7E89" w:rsidR="00E13A52">
        <w:rPr>
          <w:rFonts w:cstheme="minorHAnsi"/>
          <w:i/>
          <w:iCs/>
          <w:sz w:val="22"/>
          <w:szCs w:val="22"/>
          <w:highlight w:val="yellow"/>
        </w:rPr>
        <w:t>graphique</w:t>
      </w:r>
      <w:proofErr w:type="spellEnd"/>
      <w:r w:rsidRPr="006E7E89" w:rsidR="00E13A52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proofErr w:type="spellStart"/>
      <w:r w:rsidRPr="006E7E89">
        <w:rPr>
          <w:rFonts w:cstheme="minorHAnsi"/>
          <w:i/>
          <w:iCs/>
          <w:sz w:val="22"/>
          <w:szCs w:val="22"/>
          <w:highlight w:val="yellow"/>
        </w:rPr>
        <w:t>tel</w:t>
      </w:r>
      <w:proofErr w:type="spellEnd"/>
      <w:r w:rsidRPr="006E7E89">
        <w:rPr>
          <w:rFonts w:cstheme="minorHAnsi"/>
          <w:i/>
          <w:iCs/>
          <w:sz w:val="22"/>
          <w:szCs w:val="22"/>
          <w:highlight w:val="yellow"/>
        </w:rPr>
        <w:t xml:space="preserve"> que </w:t>
      </w:r>
      <w:proofErr w:type="spellStart"/>
      <w:r w:rsidRPr="006E7E89">
        <w:rPr>
          <w:rFonts w:cstheme="minorHAnsi"/>
          <w:i/>
          <w:iCs/>
          <w:sz w:val="22"/>
          <w:szCs w:val="22"/>
          <w:highlight w:val="yellow"/>
        </w:rPr>
        <w:t>celui</w:t>
      </w:r>
      <w:proofErr w:type="spellEnd"/>
      <w:r w:rsidRPr="006E7E89">
        <w:rPr>
          <w:rFonts w:cstheme="minorHAnsi"/>
          <w:i/>
          <w:iCs/>
          <w:sz w:val="22"/>
          <w:szCs w:val="22"/>
          <w:highlight w:val="yellow"/>
        </w:rPr>
        <w:t xml:space="preserve"> ci-dessous, qui </w:t>
      </w:r>
      <w:proofErr w:type="spellStart"/>
      <w:r w:rsidRPr="006E7E89" w:rsidR="00E13A52">
        <w:rPr>
          <w:rFonts w:cstheme="minorHAnsi"/>
          <w:i/>
          <w:iCs/>
          <w:sz w:val="22"/>
          <w:szCs w:val="22"/>
          <w:highlight w:val="yellow"/>
        </w:rPr>
        <w:t>résume</w:t>
      </w:r>
      <w:proofErr w:type="spellEnd"/>
      <w:r w:rsidRPr="006E7E89" w:rsidR="00E13A52">
        <w:rPr>
          <w:rFonts w:cstheme="minorHAnsi"/>
          <w:i/>
          <w:iCs/>
          <w:sz w:val="22"/>
          <w:szCs w:val="22"/>
          <w:highlight w:val="yellow"/>
        </w:rPr>
        <w:t xml:space="preserve"> le plan </w:t>
      </w:r>
      <w:proofErr w:type="spellStart"/>
      <w:r w:rsidRPr="006E7E89" w:rsidR="00E13A52">
        <w:rPr>
          <w:rFonts w:cstheme="minorHAnsi"/>
          <w:i/>
          <w:iCs/>
          <w:sz w:val="22"/>
          <w:szCs w:val="22"/>
          <w:highlight w:val="yellow"/>
        </w:rPr>
        <w:t>d'introduction</w:t>
      </w:r>
      <w:proofErr w:type="spellEnd"/>
      <w:r w:rsidRPr="006E7E89" w:rsidR="00E13A52">
        <w:rPr>
          <w:rFonts w:cstheme="minorHAnsi"/>
          <w:i/>
          <w:iCs/>
          <w:sz w:val="22"/>
          <w:szCs w:val="22"/>
          <w:highlight w:val="yellow"/>
        </w:rPr>
        <w:t xml:space="preserve"> de haut </w:t>
      </w:r>
      <w:proofErr w:type="spellStart"/>
      <w:r w:rsidRPr="006E7E89" w:rsidR="00E13A52">
        <w:rPr>
          <w:rFonts w:cstheme="minorHAnsi"/>
          <w:i/>
          <w:iCs/>
          <w:sz w:val="22"/>
          <w:szCs w:val="22"/>
          <w:highlight w:val="yellow"/>
        </w:rPr>
        <w:t>niveau</w:t>
      </w:r>
      <w:proofErr w:type="spellEnd"/>
      <w:r w:rsidRPr="006E7E89" w:rsidR="00E13A52">
        <w:rPr>
          <w:rFonts w:cstheme="minorHAnsi"/>
          <w:i/>
          <w:iCs/>
          <w:sz w:val="22"/>
          <w:szCs w:val="22"/>
          <w:highlight w:val="yellow"/>
        </w:rPr>
        <w:t xml:space="preserve"> pour les régimes à </w:t>
      </w:r>
      <w:r w:rsidRPr="006E7E89">
        <w:rPr>
          <w:rFonts w:cstheme="minorHAnsi"/>
          <w:i/>
          <w:iCs/>
          <w:sz w:val="22"/>
          <w:szCs w:val="22"/>
          <w:highlight w:val="yellow"/>
        </w:rPr>
        <w:t xml:space="preserve">base de pDTG. ] </w:t>
      </w:r>
      <w:r w:rsidRPr="00962853" w:rsidR="00E13A52">
        <w:rPr>
          <w:rFonts w:cstheme="minorHAnsi"/>
          <w:sz w:val="22"/>
          <w:szCs w:val="22"/>
        </w:rPr>
        <w:t xml:space="preserve">Une discussion </w:t>
      </w:r>
      <w:proofErr w:type="spellStart"/>
      <w:r w:rsidRPr="00962853" w:rsidR="00E13A52">
        <w:rPr>
          <w:rFonts w:cstheme="minorHAnsi"/>
          <w:sz w:val="22"/>
          <w:szCs w:val="22"/>
        </w:rPr>
        <w:t>détaillée</w:t>
      </w:r>
      <w:proofErr w:type="spellEnd"/>
      <w:r w:rsidRPr="00962853" w:rsidR="00E13A52">
        <w:rPr>
          <w:rFonts w:cstheme="minorHAnsi"/>
          <w:sz w:val="22"/>
          <w:szCs w:val="22"/>
        </w:rPr>
        <w:t xml:space="preserve"> de </w:t>
      </w:r>
      <w:proofErr w:type="spellStart"/>
      <w:r w:rsidRPr="00962853" w:rsidR="00E13A52">
        <w:rPr>
          <w:rFonts w:cstheme="minorHAnsi"/>
          <w:sz w:val="22"/>
          <w:szCs w:val="22"/>
        </w:rPr>
        <w:t>chaque</w:t>
      </w:r>
      <w:proofErr w:type="spellEnd"/>
      <w:r w:rsidRPr="00962853" w:rsidR="00E13A52">
        <w:rPr>
          <w:rFonts w:cstheme="minorHAnsi"/>
          <w:sz w:val="22"/>
          <w:szCs w:val="22"/>
        </w:rPr>
        <w:t xml:space="preserve"> </w:t>
      </w:r>
      <w:proofErr w:type="spellStart"/>
      <w:r w:rsidRPr="00962853" w:rsidR="00E13A52">
        <w:rPr>
          <w:rFonts w:cstheme="minorHAnsi"/>
          <w:sz w:val="22"/>
          <w:szCs w:val="22"/>
        </w:rPr>
        <w:t>domaine</w:t>
      </w:r>
      <w:proofErr w:type="spellEnd"/>
      <w:r w:rsidRPr="00962853" w:rsidR="00E13A52">
        <w:rPr>
          <w:rFonts w:cstheme="minorHAnsi"/>
          <w:sz w:val="22"/>
          <w:szCs w:val="22"/>
        </w:rPr>
        <w:t xml:space="preserve"> principal sera </w:t>
      </w:r>
      <w:proofErr w:type="spellStart"/>
      <w:r w:rsidRPr="00962853" w:rsidR="007954D8">
        <w:rPr>
          <w:rFonts w:cstheme="minorHAnsi"/>
          <w:sz w:val="22"/>
          <w:szCs w:val="22"/>
        </w:rPr>
        <w:t>présentée</w:t>
      </w:r>
      <w:proofErr w:type="spellEnd"/>
      <w:r w:rsidRPr="00962853" w:rsidR="007954D8">
        <w:rPr>
          <w:rFonts w:cstheme="minorHAnsi"/>
          <w:sz w:val="22"/>
          <w:szCs w:val="22"/>
        </w:rPr>
        <w:t xml:space="preserve"> </w:t>
      </w:r>
      <w:r w:rsidRPr="00962853" w:rsidR="00E13A52">
        <w:rPr>
          <w:rFonts w:cstheme="minorHAnsi"/>
          <w:sz w:val="22"/>
          <w:szCs w:val="22"/>
        </w:rPr>
        <w:t xml:space="preserve">dans </w:t>
      </w:r>
      <w:proofErr w:type="spellStart"/>
      <w:r w:rsidRPr="00962853" w:rsidR="00E13A52">
        <w:rPr>
          <w:rFonts w:cstheme="minorHAnsi"/>
          <w:sz w:val="22"/>
          <w:szCs w:val="22"/>
        </w:rPr>
        <w:t>ce</w:t>
      </w:r>
      <w:proofErr w:type="spellEnd"/>
      <w:r w:rsidRPr="00962853" w:rsidR="00E13A52">
        <w:rPr>
          <w:rFonts w:cstheme="minorHAnsi"/>
          <w:sz w:val="22"/>
          <w:szCs w:val="22"/>
        </w:rPr>
        <w:t xml:space="preserve"> guide.</w:t>
      </w:r>
    </w:p>
    <w:p w:rsidRPr="00962853" w:rsidR="00576DFE" w:rsidP="00370DC1" w:rsidRDefault="00576DFE" w14:paraId="5913D8D4" w14:textId="77777777">
      <w:pPr>
        <w:pStyle w:val="EndnoteText"/>
        <w:spacing w:line="276" w:lineRule="auto"/>
        <w:jc w:val="both"/>
        <w:rPr>
          <w:rFonts w:cstheme="minorHAnsi"/>
          <w:b/>
          <w:color w:val="548DD4" w:themeColor="text2" w:themeTint="99"/>
          <w:sz w:val="22"/>
          <w:szCs w:val="22"/>
        </w:rPr>
      </w:pPr>
    </w:p>
    <w:p w:rsidRPr="009E4030" w:rsidR="006D7D7F" w:rsidP="00370DC1" w:rsidRDefault="00216EAF" w14:paraId="42108034" w14:textId="1C9747E7">
      <w:pPr>
        <w:pStyle w:val="EndnoteText"/>
        <w:spacing w:line="276" w:lineRule="auto"/>
        <w:jc w:val="both"/>
      </w:pPr>
    </w:p>
    <w:p w:rsidR="7B1D4F4C" w:rsidP="7B1D4F4C" w:rsidRDefault="7B1D4F4C" w14:paraId="261EC3B8" w14:textId="04EE23C2">
      <w:pPr>
        <w:pStyle w:val="EndnoteText"/>
        <w:spacing w:line="276" w:lineRule="auto"/>
        <w:jc w:val="both"/>
      </w:pPr>
      <w:commentRangeStart w:id="195624016"/>
      <w:r>
        <w:drawing>
          <wp:inline wp14:editId="58D750D4" wp14:anchorId="18B1476D">
            <wp:extent cx="6210637" cy="2924203"/>
            <wp:effectExtent l="0" t="0" r="0" b="0"/>
            <wp:docPr id="98076093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168e05098974be5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15355" r="0" b="0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210637" cy="2924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195624016"/>
      <w:r>
        <w:rPr>
          <w:rStyle w:val="CommentReference"/>
        </w:rPr>
        <w:commentReference w:id="195624016"/>
      </w:r>
    </w:p>
    <w:p w:rsidRPr="007F5C54" w:rsidR="00C832A5" w:rsidP="00370DC1" w:rsidRDefault="00C832A5" w14:paraId="4FC4F00D" w14:textId="46A1E44E">
      <w:pPr>
        <w:pStyle w:val="Heading1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proofErr w:type="spellStart"/>
      <w:r w:rsidRPr="007F5C54">
        <w:rPr>
          <w:rFonts w:asciiTheme="minorHAnsi" w:hAnsiTheme="minorHAnsi" w:cstheme="minorHAnsi"/>
        </w:rPr>
        <w:t>Procédés</w:t>
      </w:r>
      <w:proofErr w:type="spellEnd"/>
      <w:r w:rsidRPr="007F5C54">
        <w:rPr>
          <w:rFonts w:asciiTheme="minorHAnsi" w:hAnsiTheme="minorHAnsi" w:cstheme="minorHAnsi"/>
        </w:rPr>
        <w:t xml:space="preserve"> techniques</w:t>
      </w:r>
    </w:p>
    <w:p w:rsidR="0069287D" w:rsidP="00370DC1" w:rsidRDefault="0069287D" w14:paraId="0A2B66B2" w14:textId="46C674D9">
      <w:pPr>
        <w:pStyle w:val="Heading2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Création</w:t>
      </w:r>
      <w:proofErr w:type="spellEnd"/>
      <w:r>
        <w:rPr>
          <w:rFonts w:asciiTheme="minorHAnsi" w:hAnsiTheme="minorHAnsi" w:cstheme="minorHAnsi"/>
        </w:rPr>
        <w:t xml:space="preserve"> d'un </w:t>
      </w:r>
      <w:proofErr w:type="spellStart"/>
      <w:r>
        <w:rPr>
          <w:rFonts w:asciiTheme="minorHAnsi" w:hAnsiTheme="minorHAnsi" w:cstheme="minorHAnsi"/>
        </w:rPr>
        <w:t>groupe</w:t>
      </w:r>
      <w:proofErr w:type="spellEnd"/>
      <w:r>
        <w:rPr>
          <w:rFonts w:asciiTheme="minorHAnsi" w:hAnsiTheme="minorHAnsi" w:cstheme="minorHAnsi"/>
        </w:rPr>
        <w:t xml:space="preserve"> de travail technique (GTT) </w:t>
      </w:r>
      <w:proofErr w:type="spellStart"/>
      <w:r w:rsidR="00A735C3">
        <w:rPr>
          <w:rFonts w:asciiTheme="minorHAnsi" w:hAnsiTheme="minorHAnsi" w:cstheme="minorHAnsi"/>
        </w:rPr>
        <w:t>dédié</w:t>
      </w:r>
      <w:proofErr w:type="spellEnd"/>
      <w:r w:rsidR="00A735C3">
        <w:rPr>
          <w:rFonts w:asciiTheme="minorHAnsi" w:hAnsiTheme="minorHAnsi" w:cstheme="minorHAnsi"/>
        </w:rPr>
        <w:t xml:space="preserve"> à la </w:t>
      </w:r>
      <w:proofErr w:type="spellStart"/>
      <w:r w:rsidR="00A735C3">
        <w:rPr>
          <w:rFonts w:asciiTheme="minorHAnsi" w:hAnsiTheme="minorHAnsi" w:cstheme="minorHAnsi"/>
        </w:rPr>
        <w:t>prise</w:t>
      </w:r>
      <w:proofErr w:type="spellEnd"/>
      <w:r w:rsidR="00A735C3">
        <w:rPr>
          <w:rFonts w:asciiTheme="minorHAnsi" w:hAnsiTheme="minorHAnsi" w:cstheme="minorHAnsi"/>
        </w:rPr>
        <w:t xml:space="preserve"> de </w:t>
      </w:r>
      <w:proofErr w:type="spellStart"/>
      <w:r w:rsidR="00A735C3">
        <w:rPr>
          <w:rFonts w:asciiTheme="minorHAnsi" w:hAnsiTheme="minorHAnsi" w:cstheme="minorHAnsi"/>
        </w:rPr>
        <w:t>décision</w:t>
      </w:r>
      <w:proofErr w:type="spellEnd"/>
      <w:r w:rsidR="00A735C3">
        <w:rPr>
          <w:rFonts w:asciiTheme="minorHAnsi" w:hAnsiTheme="minorHAnsi" w:cstheme="minorHAnsi"/>
        </w:rPr>
        <w:t xml:space="preserve"> des GTPD </w:t>
      </w:r>
      <w:proofErr w:type="spellStart"/>
      <w:r w:rsidR="00A735C3">
        <w:rPr>
          <w:rFonts w:asciiTheme="minorHAnsi" w:hAnsiTheme="minorHAnsi" w:cstheme="minorHAnsi"/>
        </w:rPr>
        <w:t>nationaux</w:t>
      </w:r>
      <w:proofErr w:type="spellEnd"/>
    </w:p>
    <w:p w:rsidRPr="00C63F66" w:rsidR="0069287D" w:rsidP="00370DC1" w:rsidRDefault="0069287D" w14:paraId="3F4F08C3" w14:textId="56262B28">
      <w:pPr>
        <w:jc w:val="both"/>
        <w:rPr>
          <w:i/>
          <w:iCs/>
        </w:rPr>
      </w:pPr>
      <w:r w:rsidRPr="00C63F66">
        <w:rPr>
          <w:i/>
          <w:iCs/>
          <w:highlight w:val="yellow"/>
        </w:rPr>
        <w:t>[</w:t>
      </w:r>
      <w:proofErr w:type="spellStart"/>
      <w:r w:rsidRPr="00C63F66">
        <w:rPr>
          <w:i/>
          <w:iCs/>
          <w:highlight w:val="yellow"/>
        </w:rPr>
        <w:t>Inclure</w:t>
      </w:r>
      <w:proofErr w:type="spellEnd"/>
      <w:r w:rsidRPr="00C63F66">
        <w:rPr>
          <w:i/>
          <w:iCs/>
          <w:highlight w:val="yellow"/>
        </w:rPr>
        <w:t xml:space="preserve"> des </w:t>
      </w:r>
      <w:proofErr w:type="spellStart"/>
      <w:r w:rsidRPr="00C63F66">
        <w:rPr>
          <w:i/>
          <w:iCs/>
          <w:highlight w:val="yellow"/>
        </w:rPr>
        <w:t>informations</w:t>
      </w:r>
      <w:proofErr w:type="spellEnd"/>
      <w:r w:rsidRPr="00C63F66">
        <w:rPr>
          <w:i/>
          <w:iCs/>
          <w:highlight w:val="yellow"/>
        </w:rPr>
        <w:t xml:space="preserve"> sur </w:t>
      </w:r>
      <w:proofErr w:type="spellStart"/>
      <w:r w:rsidRPr="00C63F66">
        <w:rPr>
          <w:i/>
          <w:iCs/>
          <w:highlight w:val="yellow"/>
        </w:rPr>
        <w:t>l'organe</w:t>
      </w:r>
      <w:proofErr w:type="spellEnd"/>
      <w:r w:rsidRPr="00C63F66">
        <w:rPr>
          <w:i/>
          <w:iCs/>
          <w:highlight w:val="yellow"/>
        </w:rPr>
        <w:t xml:space="preserve"> </w:t>
      </w:r>
      <w:proofErr w:type="spellStart"/>
      <w:r w:rsidRPr="00C63F66">
        <w:rPr>
          <w:i/>
          <w:iCs/>
          <w:highlight w:val="yellow"/>
        </w:rPr>
        <w:t>décisionnel</w:t>
      </w:r>
      <w:proofErr w:type="spellEnd"/>
      <w:r w:rsidRPr="00C63F66">
        <w:rPr>
          <w:i/>
          <w:iCs/>
          <w:highlight w:val="yellow"/>
        </w:rPr>
        <w:t xml:space="preserve"> principal ; le </w:t>
      </w:r>
      <w:proofErr w:type="spellStart"/>
      <w:r w:rsidRPr="00C63F66">
        <w:rPr>
          <w:i/>
          <w:iCs/>
          <w:highlight w:val="yellow"/>
        </w:rPr>
        <w:t>contenu</w:t>
      </w:r>
      <w:proofErr w:type="spellEnd"/>
      <w:r w:rsidRPr="00C63F66">
        <w:rPr>
          <w:i/>
          <w:iCs/>
          <w:highlight w:val="yellow"/>
        </w:rPr>
        <w:t xml:space="preserve"> doit </w:t>
      </w:r>
      <w:proofErr w:type="spellStart"/>
      <w:r w:rsidRPr="00C63F66">
        <w:rPr>
          <w:i/>
          <w:iCs/>
          <w:highlight w:val="yellow"/>
        </w:rPr>
        <w:t>inclure</w:t>
      </w:r>
      <w:proofErr w:type="spellEnd"/>
      <w:r w:rsidRPr="00C63F66">
        <w:rPr>
          <w:i/>
          <w:iCs/>
          <w:highlight w:val="yellow"/>
        </w:rPr>
        <w:t xml:space="preserve"> des </w:t>
      </w:r>
      <w:proofErr w:type="spellStart"/>
      <w:r w:rsidRPr="00C63F66">
        <w:rPr>
          <w:i/>
          <w:iCs/>
          <w:highlight w:val="yellow"/>
        </w:rPr>
        <w:t>détails</w:t>
      </w:r>
      <w:proofErr w:type="spellEnd"/>
      <w:r w:rsidRPr="00C63F66">
        <w:rPr>
          <w:i/>
          <w:iCs/>
          <w:highlight w:val="yellow"/>
        </w:rPr>
        <w:t xml:space="preserve"> sur les </w:t>
      </w:r>
      <w:proofErr w:type="spellStart"/>
      <w:r w:rsidRPr="00C63F66">
        <w:rPr>
          <w:i/>
          <w:iCs/>
          <w:highlight w:val="yellow"/>
        </w:rPr>
        <w:t>principales</w:t>
      </w:r>
      <w:proofErr w:type="spellEnd"/>
      <w:r w:rsidRPr="00C63F66">
        <w:rPr>
          <w:i/>
          <w:iCs/>
          <w:highlight w:val="yellow"/>
        </w:rPr>
        <w:t xml:space="preserve"> parties </w:t>
      </w:r>
      <w:proofErr w:type="spellStart"/>
      <w:r w:rsidRPr="00C63F66">
        <w:rPr>
          <w:i/>
          <w:iCs/>
          <w:highlight w:val="yellow"/>
        </w:rPr>
        <w:t>prenantes</w:t>
      </w:r>
      <w:proofErr w:type="spellEnd"/>
      <w:r w:rsidRPr="00C63F66">
        <w:rPr>
          <w:i/>
          <w:iCs/>
          <w:highlight w:val="yellow"/>
        </w:rPr>
        <w:t xml:space="preserve"> (</w:t>
      </w:r>
      <w:proofErr w:type="spellStart"/>
      <w:r w:rsidRPr="00C63F66">
        <w:rPr>
          <w:i/>
          <w:iCs/>
          <w:highlight w:val="yellow"/>
        </w:rPr>
        <w:t>ministère</w:t>
      </w:r>
      <w:proofErr w:type="spellEnd"/>
      <w:r w:rsidRPr="00C63F66">
        <w:rPr>
          <w:i/>
          <w:iCs/>
          <w:highlight w:val="yellow"/>
        </w:rPr>
        <w:t xml:space="preserve"> de la </w:t>
      </w:r>
      <w:proofErr w:type="spellStart"/>
      <w:r w:rsidRPr="00C63F66">
        <w:rPr>
          <w:i/>
          <w:iCs/>
          <w:highlight w:val="yellow"/>
        </w:rPr>
        <w:t>santé</w:t>
      </w:r>
      <w:proofErr w:type="spellEnd"/>
      <w:r w:rsidRPr="00C63F66">
        <w:rPr>
          <w:i/>
          <w:iCs/>
          <w:highlight w:val="yellow"/>
        </w:rPr>
        <w:t xml:space="preserve">, CHAI, CDC, USAID, GF, </w:t>
      </w:r>
      <w:proofErr w:type="spellStart"/>
      <w:r w:rsidRPr="00C63F66">
        <w:rPr>
          <w:i/>
          <w:iCs/>
          <w:highlight w:val="yellow"/>
        </w:rPr>
        <w:t>autres</w:t>
      </w:r>
      <w:proofErr w:type="spellEnd"/>
      <w:r w:rsidRPr="00C63F66">
        <w:rPr>
          <w:i/>
          <w:iCs/>
          <w:highlight w:val="yellow"/>
        </w:rPr>
        <w:t xml:space="preserve"> </w:t>
      </w:r>
      <w:proofErr w:type="spellStart"/>
      <w:r w:rsidRPr="00C63F66">
        <w:rPr>
          <w:i/>
          <w:iCs/>
          <w:highlight w:val="yellow"/>
        </w:rPr>
        <w:t>détails</w:t>
      </w:r>
      <w:proofErr w:type="spellEnd"/>
      <w:r w:rsidRPr="00C63F66">
        <w:rPr>
          <w:i/>
          <w:iCs/>
          <w:highlight w:val="yellow"/>
        </w:rPr>
        <w:t xml:space="preserve"> sur la </w:t>
      </w:r>
      <w:proofErr w:type="spellStart"/>
      <w:r w:rsidRPr="00C63F66">
        <w:rPr>
          <w:i/>
          <w:iCs/>
          <w:highlight w:val="yellow"/>
        </w:rPr>
        <w:t>propriété</w:t>
      </w:r>
      <w:proofErr w:type="spellEnd"/>
      <w:r w:rsidRPr="00C63F66">
        <w:rPr>
          <w:i/>
          <w:iCs/>
          <w:highlight w:val="yellow"/>
        </w:rPr>
        <w:t xml:space="preserve"> </w:t>
      </w:r>
      <w:proofErr w:type="spellStart"/>
      <w:r w:rsidRPr="00C63F66">
        <w:rPr>
          <w:i/>
          <w:iCs/>
          <w:highlight w:val="yellow"/>
        </w:rPr>
        <w:t>intellectuelle</w:t>
      </w:r>
      <w:proofErr w:type="spellEnd"/>
      <w:r w:rsidRPr="00C63F66">
        <w:rPr>
          <w:i/>
          <w:iCs/>
          <w:highlight w:val="yellow"/>
        </w:rPr>
        <w:t xml:space="preserve">, </w:t>
      </w:r>
      <w:proofErr w:type="spellStart"/>
      <w:r w:rsidRPr="00C63F66">
        <w:rPr>
          <w:i/>
          <w:iCs/>
          <w:highlight w:val="yellow"/>
        </w:rPr>
        <w:t>Communauté</w:t>
      </w:r>
      <w:proofErr w:type="spellEnd"/>
      <w:r w:rsidRPr="00C63F66">
        <w:rPr>
          <w:i/>
          <w:iCs/>
          <w:highlight w:val="yellow"/>
        </w:rPr>
        <w:t>, etc.]</w:t>
      </w:r>
    </w:p>
    <w:p w:rsidRPr="00962853" w:rsidR="00C832A5" w:rsidP="00370DC1" w:rsidRDefault="00C832A5" w14:paraId="32962261" w14:textId="5CCA204A">
      <w:pPr>
        <w:pStyle w:val="Heading2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 w:rsidRPr="00962853">
        <w:rPr>
          <w:rFonts w:asciiTheme="minorHAnsi" w:hAnsiTheme="minorHAnsi" w:cstheme="minorHAnsi"/>
        </w:rPr>
        <w:t xml:space="preserve">Mise à jour des directives </w:t>
      </w:r>
      <w:proofErr w:type="spellStart"/>
      <w:r w:rsidRPr="00962853">
        <w:rPr>
          <w:rFonts w:asciiTheme="minorHAnsi" w:hAnsiTheme="minorHAnsi" w:cstheme="minorHAnsi"/>
        </w:rPr>
        <w:t>nationales</w:t>
      </w:r>
      <w:proofErr w:type="spellEnd"/>
      <w:r w:rsidRPr="00962853">
        <w:rPr>
          <w:rFonts w:asciiTheme="minorHAnsi" w:hAnsiTheme="minorHAnsi" w:cstheme="minorHAnsi"/>
        </w:rPr>
        <w:t xml:space="preserve"> </w:t>
      </w:r>
      <w:proofErr w:type="spellStart"/>
      <w:r w:rsidRPr="00962853">
        <w:rPr>
          <w:rFonts w:asciiTheme="minorHAnsi" w:hAnsiTheme="minorHAnsi" w:cstheme="minorHAnsi"/>
        </w:rPr>
        <w:t>en</w:t>
      </w:r>
      <w:proofErr w:type="spellEnd"/>
      <w:r w:rsidRPr="00962853">
        <w:rPr>
          <w:rFonts w:asciiTheme="minorHAnsi" w:hAnsiTheme="minorHAnsi" w:cstheme="minorHAnsi"/>
        </w:rPr>
        <w:t xml:space="preserve"> matière de TARV </w:t>
      </w:r>
    </w:p>
    <w:p w:rsidRPr="00962853" w:rsidR="001B2DE3" w:rsidP="00370DC1" w:rsidRDefault="001B2DE3" w14:paraId="3AF3A802" w14:textId="467D95A1">
      <w:pPr>
        <w:pStyle w:val="EndnoteText"/>
        <w:spacing w:line="276" w:lineRule="auto"/>
        <w:jc w:val="both"/>
        <w:rPr>
          <w:rFonts w:cstheme="minorHAnsi"/>
          <w:i/>
          <w:iCs/>
          <w:sz w:val="22"/>
          <w:szCs w:val="22"/>
        </w:rPr>
      </w:pPr>
      <w:r w:rsidRPr="00741599">
        <w:rPr>
          <w:rFonts w:cstheme="minorHAnsi"/>
          <w:i/>
          <w:iCs/>
          <w:sz w:val="22"/>
          <w:szCs w:val="22"/>
          <w:highlight w:val="yellow"/>
        </w:rPr>
        <w:t>[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Indiquer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l'état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d'avancement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de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l'examen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et de la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révision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des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lignes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directrices ; les plans de diffusion à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toutes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les parties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prenantes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-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soit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par le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biais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de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nouvelles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lignes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directrices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révisées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,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soit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par un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mémorandum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>/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circulaire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;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fournir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une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capture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d'écran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des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dernières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lignes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directrices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contenant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le pDTG, </w:t>
      </w:r>
      <w:proofErr w:type="spellStart"/>
      <w:r w:rsidRPr="00741599">
        <w:rPr>
          <w:rFonts w:cstheme="minorHAnsi"/>
          <w:i/>
          <w:iCs/>
          <w:sz w:val="22"/>
          <w:szCs w:val="22"/>
          <w:highlight w:val="yellow"/>
        </w:rPr>
        <w:t>si</w:t>
      </w:r>
      <w:proofErr w:type="spellEnd"/>
      <w:r w:rsidRPr="00741599">
        <w:rPr>
          <w:rFonts w:cstheme="minorHAnsi"/>
          <w:i/>
          <w:iCs/>
          <w:sz w:val="22"/>
          <w:szCs w:val="22"/>
          <w:highlight w:val="yellow"/>
        </w:rPr>
        <w:t xml:space="preserve"> disponible] </w:t>
      </w:r>
    </w:p>
    <w:p w:rsidRPr="00962853" w:rsidR="00C832A5" w:rsidP="00370DC1" w:rsidRDefault="00C832A5" w14:paraId="35591395" w14:textId="77777777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</w:p>
    <w:p w:rsidRPr="00962853" w:rsidR="00C832A5" w:rsidP="00370DC1" w:rsidRDefault="0014602A" w14:paraId="35510CA7" w14:textId="4AE66C42">
      <w:pPr>
        <w:pStyle w:val="Heading2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Enregistrement</w:t>
      </w:r>
      <w:proofErr w:type="spellEnd"/>
      <w:r>
        <w:rPr>
          <w:rFonts w:asciiTheme="minorHAnsi" w:hAnsiTheme="minorHAnsi" w:cstheme="minorHAnsi"/>
        </w:rPr>
        <w:t xml:space="preserve"> du </w:t>
      </w:r>
      <w:proofErr w:type="spellStart"/>
      <w:r>
        <w:rPr>
          <w:rFonts w:asciiTheme="minorHAnsi" w:hAnsiTheme="minorHAnsi" w:cstheme="minorHAnsi"/>
        </w:rPr>
        <w:t>produit</w:t>
      </w:r>
      <w:proofErr w:type="spellEnd"/>
      <w:r>
        <w:rPr>
          <w:rFonts w:asciiTheme="minorHAnsi" w:hAnsiTheme="minorHAnsi" w:cstheme="minorHAnsi"/>
        </w:rPr>
        <w:t xml:space="preserve"> dans le pays</w:t>
      </w:r>
    </w:p>
    <w:p w:rsidRPr="00962853" w:rsidR="00C832A5" w:rsidP="00370DC1" w:rsidRDefault="00044D20" w14:paraId="015F2E20" w14:textId="557C5D91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  <w:r w:rsidRPr="00962853">
        <w:rPr>
          <w:rFonts w:cstheme="minorHAnsi"/>
          <w:sz w:val="22"/>
          <w:szCs w:val="22"/>
        </w:rPr>
        <w:t xml:space="preserve">Le </w:t>
      </w:r>
      <w:r w:rsidRPr="00962853" w:rsidR="004D17F6">
        <w:rPr>
          <w:rFonts w:cstheme="minorHAnsi"/>
          <w:sz w:val="22"/>
          <w:szCs w:val="22"/>
        </w:rPr>
        <w:t xml:space="preserve">pDTG a </w:t>
      </w:r>
      <w:proofErr w:type="spellStart"/>
      <w:r w:rsidRPr="00962853" w:rsidR="00375589">
        <w:rPr>
          <w:rFonts w:cstheme="minorHAnsi"/>
          <w:sz w:val="22"/>
          <w:szCs w:val="22"/>
        </w:rPr>
        <w:t>reçu</w:t>
      </w:r>
      <w:proofErr w:type="spellEnd"/>
      <w:r w:rsidRPr="00962853" w:rsidR="00375589">
        <w:rPr>
          <w:rFonts w:cstheme="minorHAnsi"/>
          <w:sz w:val="22"/>
          <w:szCs w:val="22"/>
        </w:rPr>
        <w:t xml:space="preserve"> </w:t>
      </w:r>
      <w:proofErr w:type="spellStart"/>
      <w:r w:rsidR="00A735C3">
        <w:rPr>
          <w:rFonts w:cstheme="minorHAnsi"/>
          <w:sz w:val="22"/>
          <w:szCs w:val="22"/>
        </w:rPr>
        <w:t>sa</w:t>
      </w:r>
      <w:proofErr w:type="spellEnd"/>
      <w:r w:rsidR="00A735C3">
        <w:rPr>
          <w:rFonts w:cstheme="minorHAnsi"/>
          <w:sz w:val="22"/>
          <w:szCs w:val="22"/>
        </w:rPr>
        <w:t xml:space="preserve"> première </w:t>
      </w:r>
      <w:r w:rsidRPr="00962853" w:rsidR="00375589">
        <w:rPr>
          <w:rFonts w:cstheme="minorHAnsi"/>
          <w:sz w:val="22"/>
          <w:szCs w:val="22"/>
        </w:rPr>
        <w:t xml:space="preserve">approbation </w:t>
      </w:r>
      <w:proofErr w:type="spellStart"/>
      <w:r w:rsidRPr="00962853" w:rsidR="004D17F6">
        <w:rPr>
          <w:rFonts w:cstheme="minorHAnsi"/>
          <w:sz w:val="22"/>
          <w:szCs w:val="22"/>
        </w:rPr>
        <w:t>provisoire</w:t>
      </w:r>
      <w:proofErr w:type="spellEnd"/>
      <w:r w:rsidRPr="00962853" w:rsidR="004D17F6">
        <w:rPr>
          <w:rFonts w:cstheme="minorHAnsi"/>
          <w:sz w:val="22"/>
          <w:szCs w:val="22"/>
        </w:rPr>
        <w:t xml:space="preserve"> de la </w:t>
      </w:r>
      <w:r w:rsidRPr="00962853" w:rsidR="00375589">
        <w:rPr>
          <w:rFonts w:cstheme="minorHAnsi"/>
          <w:sz w:val="22"/>
          <w:szCs w:val="22"/>
        </w:rPr>
        <w:t xml:space="preserve">FDA </w:t>
      </w:r>
      <w:proofErr w:type="spellStart"/>
      <w:r w:rsidR="00446011">
        <w:rPr>
          <w:rFonts w:cstheme="minorHAnsi"/>
          <w:sz w:val="22"/>
          <w:szCs w:val="22"/>
        </w:rPr>
        <w:t>américaine</w:t>
      </w:r>
      <w:proofErr w:type="spellEnd"/>
      <w:r w:rsidR="00446011">
        <w:rPr>
          <w:rFonts w:cstheme="minorHAnsi"/>
          <w:sz w:val="22"/>
          <w:szCs w:val="22"/>
        </w:rPr>
        <w:t xml:space="preserve"> </w:t>
      </w:r>
      <w:r w:rsidR="00A735C3">
        <w:rPr>
          <w:rFonts w:cstheme="minorHAnsi"/>
          <w:sz w:val="22"/>
          <w:szCs w:val="22"/>
        </w:rPr>
        <w:t xml:space="preserve">(par le </w:t>
      </w:r>
      <w:proofErr w:type="spellStart"/>
      <w:r w:rsidR="00A735C3">
        <w:rPr>
          <w:rFonts w:cstheme="minorHAnsi"/>
          <w:sz w:val="22"/>
          <w:szCs w:val="22"/>
        </w:rPr>
        <w:t>biais</w:t>
      </w:r>
      <w:proofErr w:type="spellEnd"/>
      <w:r w:rsidR="00A735C3">
        <w:rPr>
          <w:rFonts w:cstheme="minorHAnsi"/>
          <w:sz w:val="22"/>
          <w:szCs w:val="22"/>
        </w:rPr>
        <w:t xml:space="preserve"> de Viatris) </w:t>
      </w:r>
      <w:proofErr w:type="spellStart"/>
      <w:r w:rsidRPr="00962853" w:rsidR="00375589">
        <w:rPr>
          <w:rFonts w:cstheme="minorHAnsi"/>
          <w:sz w:val="22"/>
          <w:szCs w:val="22"/>
        </w:rPr>
        <w:t>en</w:t>
      </w:r>
      <w:proofErr w:type="spellEnd"/>
      <w:r w:rsidRPr="00962853" w:rsidR="00375589">
        <w:rPr>
          <w:rFonts w:cstheme="minorHAnsi"/>
          <w:sz w:val="22"/>
          <w:szCs w:val="22"/>
        </w:rPr>
        <w:t xml:space="preserve"> </w:t>
      </w:r>
      <w:proofErr w:type="spellStart"/>
      <w:r w:rsidRPr="00962853" w:rsidR="004D17F6">
        <w:rPr>
          <w:rFonts w:cstheme="minorHAnsi"/>
          <w:sz w:val="22"/>
          <w:szCs w:val="22"/>
        </w:rPr>
        <w:t>novembre</w:t>
      </w:r>
      <w:proofErr w:type="spellEnd"/>
      <w:r w:rsidRPr="00962853" w:rsidR="004D17F6">
        <w:rPr>
          <w:rFonts w:cstheme="minorHAnsi"/>
          <w:sz w:val="22"/>
          <w:szCs w:val="22"/>
        </w:rPr>
        <w:t xml:space="preserve"> 2020</w:t>
      </w:r>
      <w:r w:rsidRPr="00962853" w:rsidR="00375589">
        <w:rPr>
          <w:rFonts w:cstheme="minorHAnsi"/>
          <w:sz w:val="22"/>
          <w:szCs w:val="22"/>
        </w:rPr>
        <w:t>.</w:t>
      </w:r>
      <w:r w:rsidR="00A735C3">
        <w:rPr>
          <w:rFonts w:cstheme="minorHAnsi"/>
          <w:sz w:val="22"/>
          <w:szCs w:val="22"/>
        </w:rPr>
        <w:t xml:space="preserve"> </w:t>
      </w:r>
      <w:proofErr w:type="spellStart"/>
      <w:r w:rsidR="00A735C3">
        <w:rPr>
          <w:rFonts w:cstheme="minorHAnsi"/>
          <w:sz w:val="22"/>
          <w:szCs w:val="22"/>
        </w:rPr>
        <w:t>L'approbation</w:t>
      </w:r>
      <w:proofErr w:type="spellEnd"/>
      <w:r w:rsidR="00A735C3">
        <w:rPr>
          <w:rFonts w:cstheme="minorHAnsi"/>
          <w:sz w:val="22"/>
          <w:szCs w:val="22"/>
        </w:rPr>
        <w:t xml:space="preserve"> </w:t>
      </w:r>
      <w:proofErr w:type="spellStart"/>
      <w:r w:rsidR="00A735C3">
        <w:rPr>
          <w:rFonts w:cstheme="minorHAnsi"/>
          <w:sz w:val="22"/>
          <w:szCs w:val="22"/>
        </w:rPr>
        <w:t>provisoire</w:t>
      </w:r>
      <w:proofErr w:type="spellEnd"/>
      <w:r w:rsidR="00A735C3">
        <w:rPr>
          <w:rFonts w:cstheme="minorHAnsi"/>
          <w:sz w:val="22"/>
          <w:szCs w:val="22"/>
        </w:rPr>
        <w:t xml:space="preserve"> de Macleods par la FDA </w:t>
      </w:r>
      <w:proofErr w:type="spellStart"/>
      <w:r w:rsidR="00A735C3">
        <w:rPr>
          <w:rFonts w:cstheme="minorHAnsi"/>
          <w:sz w:val="22"/>
          <w:szCs w:val="22"/>
        </w:rPr>
        <w:t>américaine</w:t>
      </w:r>
      <w:proofErr w:type="spellEnd"/>
      <w:r w:rsidR="00A735C3">
        <w:rPr>
          <w:rFonts w:cstheme="minorHAnsi"/>
          <w:sz w:val="22"/>
          <w:szCs w:val="22"/>
        </w:rPr>
        <w:t xml:space="preserve"> </w:t>
      </w:r>
      <w:proofErr w:type="spellStart"/>
      <w:r w:rsidR="00A735C3">
        <w:rPr>
          <w:rFonts w:cstheme="minorHAnsi"/>
          <w:sz w:val="22"/>
          <w:szCs w:val="22"/>
        </w:rPr>
        <w:t>est</w:t>
      </w:r>
      <w:proofErr w:type="spellEnd"/>
      <w:r w:rsidR="00A735C3">
        <w:rPr>
          <w:rFonts w:cstheme="minorHAnsi"/>
          <w:sz w:val="22"/>
          <w:szCs w:val="22"/>
        </w:rPr>
        <w:t xml:space="preserve"> </w:t>
      </w:r>
      <w:proofErr w:type="spellStart"/>
      <w:r w:rsidR="00A735C3">
        <w:rPr>
          <w:rFonts w:cstheme="minorHAnsi"/>
          <w:sz w:val="22"/>
          <w:szCs w:val="22"/>
        </w:rPr>
        <w:t>attendue</w:t>
      </w:r>
      <w:proofErr w:type="spellEnd"/>
      <w:r w:rsidR="00A735C3">
        <w:rPr>
          <w:rFonts w:cstheme="minorHAnsi"/>
          <w:sz w:val="22"/>
          <w:szCs w:val="22"/>
        </w:rPr>
        <w:t xml:space="preserve"> </w:t>
      </w:r>
      <w:proofErr w:type="spellStart"/>
      <w:r w:rsidR="00A735C3">
        <w:rPr>
          <w:rFonts w:cstheme="minorHAnsi"/>
          <w:sz w:val="22"/>
          <w:szCs w:val="22"/>
        </w:rPr>
        <w:t>prochainement</w:t>
      </w:r>
      <w:proofErr w:type="spellEnd"/>
      <w:r w:rsidR="00A735C3">
        <w:rPr>
          <w:rFonts w:cstheme="minorHAnsi"/>
          <w:sz w:val="22"/>
          <w:szCs w:val="22"/>
        </w:rPr>
        <w:t xml:space="preserve">. </w:t>
      </w:r>
      <w:proofErr w:type="spellStart"/>
      <w:r w:rsidR="00A735C3">
        <w:rPr>
          <w:rFonts w:cstheme="minorHAnsi"/>
          <w:sz w:val="22"/>
          <w:szCs w:val="22"/>
        </w:rPr>
        <w:t>L</w:t>
      </w:r>
      <w:r w:rsidRPr="00990C49" w:rsidR="002276C2">
        <w:rPr>
          <w:rFonts w:cstheme="minorHAnsi"/>
          <w:i/>
          <w:iCs/>
          <w:sz w:val="22"/>
          <w:szCs w:val="22"/>
          <w:highlight w:val="yellow"/>
        </w:rPr>
        <w:t>'</w:t>
      </w:r>
      <w:r w:rsidRPr="00962853">
        <w:rPr>
          <w:rFonts w:cstheme="minorHAnsi"/>
          <w:sz w:val="22"/>
          <w:szCs w:val="22"/>
        </w:rPr>
        <w:t>enregistrement</w:t>
      </w:r>
      <w:proofErr w:type="spellEnd"/>
      <w:r w:rsidRPr="00962853">
        <w:rPr>
          <w:rFonts w:cstheme="minorHAnsi"/>
          <w:sz w:val="22"/>
          <w:szCs w:val="22"/>
        </w:rPr>
        <w:t xml:space="preserve">, </w:t>
      </w:r>
      <w:proofErr w:type="spellStart"/>
      <w:r w:rsidRPr="00962853">
        <w:rPr>
          <w:rFonts w:cstheme="minorHAnsi"/>
          <w:sz w:val="22"/>
          <w:szCs w:val="22"/>
        </w:rPr>
        <w:t>l'autorisation</w:t>
      </w:r>
      <w:proofErr w:type="spellEnd"/>
      <w:r w:rsidRPr="00962853">
        <w:rPr>
          <w:rFonts w:cstheme="minorHAnsi"/>
          <w:sz w:val="22"/>
          <w:szCs w:val="22"/>
        </w:rPr>
        <w:t xml:space="preserve"> et la </w:t>
      </w:r>
      <w:proofErr w:type="spellStart"/>
      <w:r w:rsidRPr="00962853">
        <w:rPr>
          <w:rFonts w:cstheme="minorHAnsi"/>
          <w:sz w:val="22"/>
          <w:szCs w:val="22"/>
        </w:rPr>
        <w:t>réglementation</w:t>
      </w:r>
      <w:proofErr w:type="spellEnd"/>
      <w:r w:rsidRPr="00962853">
        <w:rPr>
          <w:rFonts w:cstheme="minorHAnsi"/>
          <w:sz w:val="22"/>
          <w:szCs w:val="22"/>
        </w:rPr>
        <w:t xml:space="preserve"> des </w:t>
      </w:r>
      <w:proofErr w:type="spellStart"/>
      <w:r w:rsidRPr="00962853">
        <w:rPr>
          <w:rFonts w:cstheme="minorHAnsi"/>
          <w:sz w:val="22"/>
          <w:szCs w:val="22"/>
        </w:rPr>
        <w:t>produits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r w:rsidRPr="00990C49" w:rsidR="00F95C19">
        <w:rPr>
          <w:rFonts w:cstheme="minorHAnsi"/>
          <w:i/>
          <w:iCs/>
          <w:sz w:val="22"/>
          <w:szCs w:val="22"/>
          <w:highlight w:val="yellow"/>
        </w:rPr>
        <w:t xml:space="preserve">dans le pays </w:t>
      </w:r>
      <w:proofErr w:type="spellStart"/>
      <w:r w:rsidRPr="00962853">
        <w:rPr>
          <w:rFonts w:cstheme="minorHAnsi"/>
          <w:sz w:val="22"/>
          <w:szCs w:val="22"/>
        </w:rPr>
        <w:t>seront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continuellement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surveillés</w:t>
      </w:r>
      <w:proofErr w:type="spellEnd"/>
      <w:r w:rsidRPr="00962853">
        <w:rPr>
          <w:rFonts w:cstheme="minorHAnsi"/>
          <w:sz w:val="22"/>
          <w:szCs w:val="22"/>
        </w:rPr>
        <w:t xml:space="preserve"> et ne </w:t>
      </w:r>
      <w:proofErr w:type="spellStart"/>
      <w:r w:rsidRPr="00962853">
        <w:rPr>
          <w:rFonts w:cstheme="minorHAnsi"/>
          <w:sz w:val="22"/>
          <w:szCs w:val="22"/>
        </w:rPr>
        <w:t>devraient</w:t>
      </w:r>
      <w:proofErr w:type="spellEnd"/>
      <w:r w:rsidRPr="00962853">
        <w:rPr>
          <w:rFonts w:cstheme="minorHAnsi"/>
          <w:sz w:val="22"/>
          <w:szCs w:val="22"/>
        </w:rPr>
        <w:t xml:space="preserve"> pas poser de </w:t>
      </w:r>
      <w:proofErr w:type="spellStart"/>
      <w:r w:rsidRPr="00962853">
        <w:rPr>
          <w:rFonts w:cstheme="minorHAnsi"/>
          <w:sz w:val="22"/>
          <w:szCs w:val="22"/>
        </w:rPr>
        <w:t>problèmes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lors</w:t>
      </w:r>
      <w:proofErr w:type="spellEnd"/>
      <w:r w:rsidRPr="00962853">
        <w:rPr>
          <w:rFonts w:cstheme="minorHAnsi"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sz w:val="22"/>
          <w:szCs w:val="22"/>
        </w:rPr>
        <w:t>leur</w:t>
      </w:r>
      <w:proofErr w:type="spellEnd"/>
      <w:r w:rsidRPr="00962853">
        <w:rPr>
          <w:rFonts w:cstheme="minorHAnsi"/>
          <w:sz w:val="22"/>
          <w:szCs w:val="22"/>
        </w:rPr>
        <w:t xml:space="preserve"> introduction</w:t>
      </w:r>
      <w:r w:rsidRPr="00990C49" w:rsidR="002276C2">
        <w:rPr>
          <w:rFonts w:cstheme="minorHAnsi"/>
          <w:i/>
          <w:iCs/>
          <w:sz w:val="22"/>
          <w:szCs w:val="22"/>
          <w:highlight w:val="yellow"/>
        </w:rPr>
        <w:t>.</w:t>
      </w:r>
    </w:p>
    <w:p w:rsidRPr="00962853" w:rsidR="00CC58F9" w:rsidP="00370DC1" w:rsidRDefault="00CC58F9" w14:paraId="3B7931BB" w14:textId="77777777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</w:p>
    <w:p w:rsidRPr="00962853" w:rsidR="00C67961" w:rsidP="00370DC1" w:rsidRDefault="00990C49" w14:paraId="33759DF0" w14:textId="1F1E721F">
      <w:pPr>
        <w:pStyle w:val="Heading2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Suivi</w:t>
      </w:r>
      <w:proofErr w:type="spellEnd"/>
      <w:r>
        <w:rPr>
          <w:rFonts w:asciiTheme="minorHAnsi" w:hAnsiTheme="minorHAnsi" w:cstheme="minorHAnsi"/>
        </w:rPr>
        <w:t xml:space="preserve"> de la </w:t>
      </w:r>
      <w:proofErr w:type="spellStart"/>
      <w:r w:rsidRPr="00962853" w:rsidR="00C67961">
        <w:rPr>
          <w:rFonts w:asciiTheme="minorHAnsi" w:hAnsiTheme="minorHAnsi" w:cstheme="minorHAnsi"/>
        </w:rPr>
        <w:t>capacité</w:t>
      </w:r>
      <w:proofErr w:type="spellEnd"/>
      <w:r w:rsidRPr="00962853" w:rsidR="00C67961">
        <w:rPr>
          <w:rFonts w:asciiTheme="minorHAnsi" w:hAnsiTheme="minorHAnsi" w:cstheme="minorHAnsi"/>
        </w:rPr>
        <w:t xml:space="preserve"> </w:t>
      </w:r>
      <w:proofErr w:type="spellStart"/>
      <w:r w:rsidRPr="00962853" w:rsidR="00C67961">
        <w:rPr>
          <w:rFonts w:asciiTheme="minorHAnsi" w:hAnsiTheme="minorHAnsi" w:cstheme="minorHAnsi"/>
        </w:rPr>
        <w:t>réglementaire</w:t>
      </w:r>
      <w:proofErr w:type="spellEnd"/>
      <w:r w:rsidRPr="00962853" w:rsidR="00C67961">
        <w:rPr>
          <w:rFonts w:asciiTheme="minorHAnsi" w:hAnsiTheme="minorHAnsi" w:cstheme="minorHAnsi"/>
        </w:rPr>
        <w:t xml:space="preserve"> et de fabrication </w:t>
      </w:r>
      <w:proofErr w:type="spellStart"/>
      <w:r w:rsidRPr="00962853" w:rsidR="00C67961">
        <w:rPr>
          <w:rFonts w:asciiTheme="minorHAnsi" w:hAnsiTheme="minorHAnsi" w:cstheme="minorHAnsi"/>
        </w:rPr>
        <w:t>internationale</w:t>
      </w:r>
      <w:proofErr w:type="spellEnd"/>
      <w:r w:rsidRPr="00962853" w:rsidR="00C67961">
        <w:rPr>
          <w:rFonts w:asciiTheme="minorHAnsi" w:hAnsiTheme="minorHAnsi" w:cstheme="minorHAnsi"/>
        </w:rPr>
        <w:t xml:space="preserve"> </w:t>
      </w:r>
    </w:p>
    <w:p w:rsidRPr="00962853" w:rsidR="00243E9B" w:rsidP="00370DC1" w:rsidRDefault="00BD57E0" w14:paraId="2A5779F0" w14:textId="7BECC234">
      <w:pPr>
        <w:pStyle w:val="EndnoteText"/>
        <w:spacing w:line="276" w:lineRule="auto"/>
        <w:jc w:val="both"/>
        <w:rPr>
          <w:rFonts w:cstheme="minorHAnsi"/>
          <w:i/>
          <w:iCs/>
          <w:sz w:val="22"/>
          <w:szCs w:val="22"/>
        </w:rPr>
      </w:pPr>
      <w:proofErr w:type="spellStart"/>
      <w:r w:rsidRPr="00962853">
        <w:rPr>
          <w:rFonts w:cstheme="minorHAnsi"/>
          <w:sz w:val="22"/>
          <w:szCs w:val="22"/>
        </w:rPr>
        <w:t>Compte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tenu</w:t>
      </w:r>
      <w:proofErr w:type="spellEnd"/>
      <w:r w:rsidRPr="00962853">
        <w:rPr>
          <w:rFonts w:cstheme="minorHAnsi"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sz w:val="22"/>
          <w:szCs w:val="22"/>
        </w:rPr>
        <w:t>l'offre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importante</w:t>
      </w:r>
      <w:proofErr w:type="spellEnd"/>
      <w:r w:rsidRPr="00962853">
        <w:rPr>
          <w:rFonts w:cstheme="minorHAnsi"/>
          <w:sz w:val="22"/>
          <w:szCs w:val="22"/>
        </w:rPr>
        <w:t xml:space="preserve"> de </w:t>
      </w:r>
      <w:r w:rsidR="000F256B">
        <w:rPr>
          <w:rFonts w:cstheme="minorHAnsi"/>
          <w:sz w:val="22"/>
          <w:szCs w:val="22"/>
        </w:rPr>
        <w:t xml:space="preserve">formulations de </w:t>
      </w:r>
      <w:r w:rsidRPr="00962853">
        <w:rPr>
          <w:rFonts w:cstheme="minorHAnsi"/>
          <w:sz w:val="22"/>
          <w:szCs w:val="22"/>
        </w:rPr>
        <w:t xml:space="preserve">DTG </w:t>
      </w:r>
      <w:r w:rsidR="000F256B">
        <w:rPr>
          <w:rFonts w:cstheme="minorHAnsi"/>
          <w:sz w:val="22"/>
          <w:szCs w:val="22"/>
        </w:rPr>
        <w:t xml:space="preserve">pour </w:t>
      </w:r>
      <w:proofErr w:type="spellStart"/>
      <w:r w:rsidRPr="00962853">
        <w:rPr>
          <w:rFonts w:cstheme="minorHAnsi"/>
          <w:sz w:val="22"/>
          <w:szCs w:val="22"/>
        </w:rPr>
        <w:t>adultes</w:t>
      </w:r>
      <w:proofErr w:type="spellEnd"/>
      <w:r w:rsidRPr="00962853">
        <w:rPr>
          <w:rFonts w:cstheme="minorHAnsi"/>
          <w:sz w:val="22"/>
          <w:szCs w:val="22"/>
        </w:rPr>
        <w:t xml:space="preserve"> et de la simplification du format des </w:t>
      </w:r>
      <w:proofErr w:type="spellStart"/>
      <w:r w:rsidRPr="00962853">
        <w:rPr>
          <w:rFonts w:cstheme="minorHAnsi"/>
          <w:sz w:val="22"/>
          <w:szCs w:val="22"/>
        </w:rPr>
        <w:t>produits</w:t>
      </w:r>
      <w:proofErr w:type="spellEnd"/>
      <w:r w:rsidRPr="00962853">
        <w:rPr>
          <w:rFonts w:cstheme="minorHAnsi"/>
          <w:sz w:val="22"/>
          <w:szCs w:val="22"/>
        </w:rPr>
        <w:t xml:space="preserve"> et du </w:t>
      </w:r>
      <w:proofErr w:type="spellStart"/>
      <w:r w:rsidR="000F256B">
        <w:rPr>
          <w:rFonts w:cstheme="minorHAnsi"/>
          <w:sz w:val="22"/>
          <w:szCs w:val="22"/>
        </w:rPr>
        <w:t>processus</w:t>
      </w:r>
      <w:proofErr w:type="spellEnd"/>
      <w:r w:rsidR="000F256B">
        <w:rPr>
          <w:rFonts w:cstheme="minorHAnsi"/>
          <w:sz w:val="22"/>
          <w:szCs w:val="22"/>
        </w:rPr>
        <w:t xml:space="preserve"> de fabrication, </w:t>
      </w:r>
      <w:proofErr w:type="spellStart"/>
      <w:r w:rsidRPr="00962853">
        <w:rPr>
          <w:rFonts w:cstheme="minorHAnsi"/>
          <w:sz w:val="22"/>
          <w:szCs w:val="22"/>
        </w:rPr>
        <w:t>contrairement</w:t>
      </w:r>
      <w:proofErr w:type="spellEnd"/>
      <w:r w:rsidRPr="00962853">
        <w:rPr>
          <w:rFonts w:cstheme="minorHAnsi"/>
          <w:sz w:val="22"/>
          <w:szCs w:val="22"/>
        </w:rPr>
        <w:t xml:space="preserve"> aux nouveaux </w:t>
      </w:r>
      <w:proofErr w:type="spellStart"/>
      <w:r w:rsidRPr="00962853">
        <w:rPr>
          <w:rFonts w:cstheme="minorHAnsi"/>
          <w:sz w:val="22"/>
          <w:szCs w:val="22"/>
        </w:rPr>
        <w:t>produits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pédiatriques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récents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tels</w:t>
      </w:r>
      <w:proofErr w:type="spellEnd"/>
      <w:r w:rsidRPr="00962853">
        <w:rPr>
          <w:rFonts w:cstheme="minorHAnsi"/>
          <w:sz w:val="22"/>
          <w:szCs w:val="22"/>
        </w:rPr>
        <w:t xml:space="preserve"> que les </w:t>
      </w:r>
      <w:proofErr w:type="spellStart"/>
      <w:r w:rsidR="000F256B">
        <w:rPr>
          <w:rFonts w:cstheme="minorHAnsi"/>
          <w:sz w:val="22"/>
          <w:szCs w:val="22"/>
        </w:rPr>
        <w:t>granulés</w:t>
      </w:r>
      <w:proofErr w:type="spellEnd"/>
      <w:r w:rsidR="000F256B">
        <w:rPr>
          <w:rFonts w:cstheme="minorHAnsi"/>
          <w:sz w:val="22"/>
          <w:szCs w:val="22"/>
        </w:rPr>
        <w:t xml:space="preserve"> et les pellets LPV/r, le </w:t>
      </w:r>
      <w:r w:rsidRPr="00962853">
        <w:rPr>
          <w:rFonts w:cstheme="minorHAnsi"/>
          <w:sz w:val="22"/>
          <w:szCs w:val="22"/>
        </w:rPr>
        <w:t xml:space="preserve">pDTG </w:t>
      </w:r>
      <w:r w:rsidRPr="00C22B98">
        <w:rPr>
          <w:rFonts w:cstheme="minorHAnsi"/>
          <w:b/>
          <w:bCs/>
        </w:rPr>
        <w:t xml:space="preserve">ne </w:t>
      </w:r>
      <w:proofErr w:type="spellStart"/>
      <w:r w:rsidRPr="00962853">
        <w:rPr>
          <w:rFonts w:cstheme="minorHAnsi"/>
          <w:sz w:val="22"/>
          <w:szCs w:val="22"/>
        </w:rPr>
        <w:t>devrait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r w:rsidRPr="00C22B98">
        <w:rPr>
          <w:rFonts w:cstheme="minorHAnsi"/>
          <w:b/>
          <w:bCs/>
        </w:rPr>
        <w:t xml:space="preserve">pas poser de </w:t>
      </w:r>
      <w:proofErr w:type="spellStart"/>
      <w:r w:rsidRPr="00962853">
        <w:rPr>
          <w:rFonts w:cstheme="minorHAnsi"/>
          <w:sz w:val="22"/>
          <w:szCs w:val="22"/>
        </w:rPr>
        <w:t>problèmes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d'approvisionnement</w:t>
      </w:r>
      <w:proofErr w:type="spellEnd"/>
      <w:r w:rsidRPr="00962853">
        <w:rPr>
          <w:rFonts w:cstheme="minorHAnsi"/>
          <w:sz w:val="22"/>
          <w:szCs w:val="22"/>
        </w:rPr>
        <w:t xml:space="preserve">. </w:t>
      </w:r>
      <w:r w:rsidR="000F256B">
        <w:rPr>
          <w:rFonts w:cstheme="minorHAnsi"/>
          <w:sz w:val="22"/>
          <w:szCs w:val="22"/>
        </w:rPr>
        <w:t xml:space="preserve">Le </w:t>
      </w:r>
      <w:r w:rsidR="00C63F66">
        <w:rPr>
          <w:rFonts w:cstheme="minorHAnsi"/>
          <w:sz w:val="22"/>
          <w:szCs w:val="22"/>
        </w:rPr>
        <w:t xml:space="preserve">programme </w:t>
      </w:r>
      <w:proofErr w:type="spellStart"/>
      <w:r w:rsidRPr="00A7455C" w:rsidR="000F256B">
        <w:rPr>
          <w:rFonts w:cstheme="minorHAnsi"/>
          <w:sz w:val="22"/>
          <w:szCs w:val="22"/>
        </w:rPr>
        <w:t>suivra</w:t>
      </w:r>
      <w:proofErr w:type="spellEnd"/>
      <w:r w:rsidRPr="00A7455C" w:rsidR="000F256B">
        <w:rPr>
          <w:rFonts w:cstheme="minorHAnsi"/>
          <w:sz w:val="22"/>
          <w:szCs w:val="22"/>
        </w:rPr>
        <w:t xml:space="preserve"> les </w:t>
      </w:r>
      <w:proofErr w:type="spellStart"/>
      <w:r w:rsidRPr="00A7455C" w:rsidR="000F256B">
        <w:rPr>
          <w:rFonts w:cstheme="minorHAnsi"/>
          <w:sz w:val="22"/>
          <w:szCs w:val="22"/>
        </w:rPr>
        <w:t>informations</w:t>
      </w:r>
      <w:proofErr w:type="spellEnd"/>
      <w:r w:rsidRPr="00A7455C" w:rsidR="000F256B">
        <w:rPr>
          <w:rFonts w:cstheme="minorHAnsi"/>
          <w:sz w:val="22"/>
          <w:szCs w:val="22"/>
        </w:rPr>
        <w:t xml:space="preserve"> </w:t>
      </w:r>
      <w:proofErr w:type="spellStart"/>
      <w:r w:rsidRPr="00A7455C" w:rsidR="000F256B">
        <w:rPr>
          <w:rFonts w:cstheme="minorHAnsi"/>
          <w:sz w:val="22"/>
          <w:szCs w:val="22"/>
        </w:rPr>
        <w:t>commerciales</w:t>
      </w:r>
      <w:proofErr w:type="spellEnd"/>
      <w:r w:rsidRPr="00A7455C" w:rsidR="000F256B">
        <w:rPr>
          <w:rFonts w:cstheme="minorHAnsi"/>
          <w:sz w:val="22"/>
          <w:szCs w:val="22"/>
        </w:rPr>
        <w:t xml:space="preserve">, </w:t>
      </w:r>
      <w:proofErr w:type="spellStart"/>
      <w:r w:rsidRPr="00A7455C" w:rsidR="000F256B">
        <w:rPr>
          <w:rFonts w:cstheme="minorHAnsi"/>
          <w:sz w:val="22"/>
          <w:szCs w:val="22"/>
        </w:rPr>
        <w:t>telles</w:t>
      </w:r>
      <w:proofErr w:type="spellEnd"/>
      <w:r w:rsidRPr="00A7455C" w:rsidR="000F256B">
        <w:rPr>
          <w:rFonts w:cstheme="minorHAnsi"/>
          <w:sz w:val="22"/>
          <w:szCs w:val="22"/>
        </w:rPr>
        <w:t xml:space="preserve"> que les mises à jour du </w:t>
      </w:r>
      <w:proofErr w:type="spellStart"/>
      <w:r w:rsidRPr="00A7455C" w:rsidR="000F256B">
        <w:rPr>
          <w:rFonts w:cstheme="minorHAnsi"/>
          <w:sz w:val="22"/>
          <w:szCs w:val="22"/>
        </w:rPr>
        <w:t>groupe</w:t>
      </w:r>
      <w:proofErr w:type="spellEnd"/>
      <w:r w:rsidRPr="00A7455C" w:rsidR="000F256B">
        <w:rPr>
          <w:rFonts w:cstheme="minorHAnsi"/>
          <w:sz w:val="22"/>
          <w:szCs w:val="22"/>
        </w:rPr>
        <w:t xml:space="preserve"> de travail sur </w:t>
      </w:r>
      <w:r w:rsidRPr="00A7455C" w:rsidR="000F256B">
        <w:rPr>
          <w:rFonts w:cstheme="minorHAnsi"/>
          <w:sz w:val="22"/>
          <w:szCs w:val="22"/>
        </w:rPr>
        <w:lastRenderedPageBreak/>
        <w:t xml:space="preserve">les </w:t>
      </w:r>
      <w:proofErr w:type="spellStart"/>
      <w:r w:rsidRPr="00A7455C" w:rsidR="000F256B">
        <w:rPr>
          <w:rFonts w:cstheme="minorHAnsi"/>
          <w:sz w:val="22"/>
          <w:szCs w:val="22"/>
        </w:rPr>
        <w:t>achats</w:t>
      </w:r>
      <w:proofErr w:type="spellEnd"/>
      <w:r w:rsidRPr="00A7455C" w:rsidR="000F256B">
        <w:rPr>
          <w:rFonts w:cstheme="minorHAnsi"/>
          <w:sz w:val="22"/>
          <w:szCs w:val="22"/>
        </w:rPr>
        <w:t xml:space="preserve"> </w:t>
      </w:r>
      <w:proofErr w:type="spellStart"/>
      <w:r w:rsidRPr="00A7455C" w:rsidR="000F256B">
        <w:rPr>
          <w:rFonts w:cstheme="minorHAnsi"/>
          <w:sz w:val="22"/>
          <w:szCs w:val="22"/>
        </w:rPr>
        <w:t>d'antirétroviraux</w:t>
      </w:r>
      <w:proofErr w:type="spellEnd"/>
      <w:r w:rsidRPr="00A7455C" w:rsidR="000F256B">
        <w:rPr>
          <w:rFonts w:cstheme="minorHAnsi"/>
          <w:sz w:val="22"/>
          <w:szCs w:val="22"/>
        </w:rPr>
        <w:t xml:space="preserve"> (</w:t>
      </w:r>
      <w:hyperlink w:history="1" r:id="rId16">
        <w:r w:rsidRPr="00E45B92" w:rsidR="000F256B">
          <w:rPr>
            <w:rStyle w:val="Hyperlink"/>
            <w:rFonts w:cstheme="minorHAnsi"/>
            <w:sz w:val="22"/>
            <w:szCs w:val="22"/>
          </w:rPr>
          <w:t>APWG</w:t>
        </w:r>
      </w:hyperlink>
      <w:r w:rsidRPr="00A7455C" w:rsidR="000F256B">
        <w:rPr>
          <w:rFonts w:cstheme="minorHAnsi"/>
          <w:sz w:val="22"/>
          <w:szCs w:val="22"/>
        </w:rPr>
        <w:t xml:space="preserve">), pour </w:t>
      </w:r>
      <w:proofErr w:type="spellStart"/>
      <w:r w:rsidRPr="00A7455C" w:rsidR="000F256B">
        <w:rPr>
          <w:rFonts w:cstheme="minorHAnsi"/>
          <w:sz w:val="22"/>
          <w:szCs w:val="22"/>
        </w:rPr>
        <w:t>toute</w:t>
      </w:r>
      <w:proofErr w:type="spellEnd"/>
      <w:r w:rsidRPr="00A7455C" w:rsidR="000F256B">
        <w:rPr>
          <w:rFonts w:cstheme="minorHAnsi"/>
          <w:sz w:val="22"/>
          <w:szCs w:val="22"/>
        </w:rPr>
        <w:t xml:space="preserve"> mise à </w:t>
      </w:r>
      <w:r w:rsidR="000F256B">
        <w:rPr>
          <w:rFonts w:cstheme="minorHAnsi"/>
          <w:sz w:val="22"/>
          <w:szCs w:val="22"/>
        </w:rPr>
        <w:t xml:space="preserve">jour </w:t>
      </w:r>
      <w:proofErr w:type="spellStart"/>
      <w:r w:rsidR="000F256B">
        <w:rPr>
          <w:rFonts w:cstheme="minorHAnsi"/>
          <w:sz w:val="22"/>
          <w:szCs w:val="22"/>
        </w:rPr>
        <w:t>concernant</w:t>
      </w:r>
      <w:proofErr w:type="spellEnd"/>
      <w:r w:rsidR="000F256B">
        <w:rPr>
          <w:rFonts w:cstheme="minorHAnsi"/>
          <w:sz w:val="22"/>
          <w:szCs w:val="22"/>
        </w:rPr>
        <w:t xml:space="preserve"> </w:t>
      </w:r>
      <w:proofErr w:type="spellStart"/>
      <w:r w:rsidR="000F256B">
        <w:rPr>
          <w:rFonts w:cstheme="minorHAnsi"/>
          <w:sz w:val="22"/>
          <w:szCs w:val="22"/>
        </w:rPr>
        <w:t>l'approvisionnement</w:t>
      </w:r>
      <w:proofErr w:type="spellEnd"/>
      <w:r w:rsidR="000F256B">
        <w:rPr>
          <w:rFonts w:cstheme="minorHAnsi"/>
          <w:sz w:val="22"/>
          <w:szCs w:val="22"/>
        </w:rPr>
        <w:t xml:space="preserve"> et la livraison de pDTG.</w:t>
      </w:r>
    </w:p>
    <w:p w:rsidRPr="00962853" w:rsidR="000545B2" w:rsidP="00370DC1" w:rsidRDefault="000545B2" w14:paraId="1AC34833" w14:textId="77777777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</w:p>
    <w:p w:rsidRPr="00962853" w:rsidR="00C832A5" w:rsidP="00370DC1" w:rsidRDefault="00BD57E0" w14:paraId="50B58C97" w14:textId="5B41E4E1">
      <w:pPr>
        <w:pStyle w:val="Heading2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 w:rsidRPr="00962853">
        <w:rPr>
          <w:rFonts w:asciiTheme="minorHAnsi" w:hAnsiTheme="minorHAnsi" w:cstheme="minorHAnsi"/>
        </w:rPr>
        <w:t xml:space="preserve">Mise à jour des </w:t>
      </w:r>
      <w:proofErr w:type="spellStart"/>
      <w:r w:rsidRPr="00962853" w:rsidR="003568BC">
        <w:rPr>
          <w:rFonts w:asciiTheme="minorHAnsi" w:hAnsiTheme="minorHAnsi" w:cstheme="minorHAnsi"/>
        </w:rPr>
        <w:t>outils</w:t>
      </w:r>
      <w:proofErr w:type="spellEnd"/>
      <w:r w:rsidRPr="00962853" w:rsidR="003568BC">
        <w:rPr>
          <w:rFonts w:asciiTheme="minorHAnsi" w:hAnsiTheme="minorHAnsi" w:cstheme="minorHAnsi"/>
        </w:rPr>
        <w:t xml:space="preserve"> de </w:t>
      </w:r>
      <w:proofErr w:type="spellStart"/>
      <w:r w:rsidRPr="00962853" w:rsidR="003568BC">
        <w:rPr>
          <w:rFonts w:asciiTheme="minorHAnsi" w:hAnsiTheme="minorHAnsi" w:cstheme="minorHAnsi"/>
        </w:rPr>
        <w:t>suivi</w:t>
      </w:r>
      <w:proofErr w:type="spellEnd"/>
      <w:r w:rsidRPr="00962853" w:rsidR="003568BC">
        <w:rPr>
          <w:rFonts w:asciiTheme="minorHAnsi" w:hAnsiTheme="minorHAnsi" w:cstheme="minorHAnsi"/>
        </w:rPr>
        <w:t xml:space="preserve"> et </w:t>
      </w:r>
      <w:proofErr w:type="spellStart"/>
      <w:r w:rsidRPr="00962853" w:rsidR="003568BC">
        <w:rPr>
          <w:rFonts w:asciiTheme="minorHAnsi" w:hAnsiTheme="minorHAnsi" w:cstheme="minorHAnsi"/>
        </w:rPr>
        <w:t>d'évaluation</w:t>
      </w:r>
      <w:proofErr w:type="spellEnd"/>
      <w:r w:rsidRPr="00962853" w:rsidR="003568BC">
        <w:rPr>
          <w:rFonts w:asciiTheme="minorHAnsi" w:hAnsiTheme="minorHAnsi" w:cstheme="minorHAnsi"/>
        </w:rPr>
        <w:t xml:space="preserve"> </w:t>
      </w:r>
    </w:p>
    <w:p w:rsidRPr="00962853" w:rsidR="00D972CE" w:rsidP="00370DC1" w:rsidRDefault="00262053" w14:paraId="5FDF624F" w14:textId="1C9AC068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  <w:r w:rsidRPr="00962853">
        <w:rPr>
          <w:rFonts w:cstheme="minorHAnsi"/>
          <w:sz w:val="22"/>
          <w:szCs w:val="22"/>
        </w:rPr>
        <w:t xml:space="preserve">Le </w:t>
      </w:r>
      <w:r w:rsidRPr="00057C43" w:rsidR="003568BC">
        <w:rPr>
          <w:rFonts w:cstheme="minorHAnsi"/>
          <w:sz w:val="22"/>
          <w:szCs w:val="22"/>
          <w:highlight w:val="yellow"/>
        </w:rPr>
        <w:t>[</w:t>
      </w:r>
      <w:proofErr w:type="spellStart"/>
      <w:r w:rsidRPr="00057C43" w:rsidR="00C832A5">
        <w:rPr>
          <w:rFonts w:cstheme="minorHAnsi"/>
          <w:sz w:val="22"/>
          <w:szCs w:val="22"/>
          <w:highlight w:val="yellow"/>
        </w:rPr>
        <w:t>formulaire</w:t>
      </w:r>
      <w:proofErr w:type="spellEnd"/>
      <w:r w:rsidRPr="00057C43" w:rsidR="00C832A5">
        <w:rPr>
          <w:rFonts w:cstheme="minorHAnsi"/>
          <w:sz w:val="22"/>
          <w:szCs w:val="22"/>
          <w:highlight w:val="yellow"/>
        </w:rPr>
        <w:t xml:space="preserve"> de </w:t>
      </w:r>
      <w:proofErr w:type="spellStart"/>
      <w:r w:rsidRPr="00057C43" w:rsidR="00C832A5">
        <w:rPr>
          <w:rFonts w:cstheme="minorHAnsi"/>
          <w:sz w:val="22"/>
          <w:szCs w:val="22"/>
          <w:highlight w:val="yellow"/>
        </w:rPr>
        <w:t>commande</w:t>
      </w:r>
      <w:proofErr w:type="spellEnd"/>
      <w:r w:rsidRPr="00057C43" w:rsidR="00C832A5">
        <w:rPr>
          <w:rFonts w:cstheme="minorHAnsi"/>
          <w:sz w:val="22"/>
          <w:szCs w:val="22"/>
          <w:highlight w:val="yellow"/>
        </w:rPr>
        <w:t xml:space="preserve">, </w:t>
      </w:r>
      <w:proofErr w:type="spellStart"/>
      <w:r w:rsidRPr="00057C43" w:rsidR="00C832A5">
        <w:rPr>
          <w:rFonts w:cstheme="minorHAnsi"/>
          <w:sz w:val="22"/>
          <w:szCs w:val="22"/>
          <w:highlight w:val="yellow"/>
        </w:rPr>
        <w:t>registres</w:t>
      </w:r>
      <w:proofErr w:type="spellEnd"/>
      <w:r w:rsidRPr="00057C43" w:rsidR="00C832A5">
        <w:rPr>
          <w:rFonts w:cstheme="minorHAnsi"/>
          <w:sz w:val="22"/>
          <w:szCs w:val="22"/>
          <w:highlight w:val="yellow"/>
        </w:rPr>
        <w:t xml:space="preserve"> de distribution </w:t>
      </w:r>
      <w:r w:rsidRPr="00057C43" w:rsidR="00813090">
        <w:rPr>
          <w:rFonts w:cstheme="minorHAnsi"/>
          <w:sz w:val="22"/>
          <w:szCs w:val="22"/>
          <w:highlight w:val="yellow"/>
        </w:rPr>
        <w:t xml:space="preserve">; </w:t>
      </w:r>
      <w:proofErr w:type="spellStart"/>
      <w:r w:rsidRPr="00057C43" w:rsidR="00813090">
        <w:rPr>
          <w:rFonts w:cstheme="minorHAnsi"/>
          <w:sz w:val="22"/>
          <w:szCs w:val="22"/>
          <w:highlight w:val="yellow"/>
        </w:rPr>
        <w:t>liste</w:t>
      </w:r>
      <w:proofErr w:type="spellEnd"/>
      <w:r w:rsidRPr="00057C43" w:rsidR="00813090">
        <w:rPr>
          <w:rFonts w:cstheme="minorHAnsi"/>
          <w:sz w:val="22"/>
          <w:szCs w:val="22"/>
          <w:highlight w:val="yellow"/>
        </w:rPr>
        <w:t xml:space="preserve"> de </w:t>
      </w:r>
      <w:proofErr w:type="spellStart"/>
      <w:r w:rsidRPr="00057C43" w:rsidR="00813090">
        <w:rPr>
          <w:rFonts w:cstheme="minorHAnsi"/>
          <w:sz w:val="22"/>
          <w:szCs w:val="22"/>
          <w:highlight w:val="yellow"/>
        </w:rPr>
        <w:t>tous</w:t>
      </w:r>
      <w:proofErr w:type="spellEnd"/>
      <w:r w:rsidRPr="00057C43" w:rsidR="00813090">
        <w:rPr>
          <w:rFonts w:cstheme="minorHAnsi"/>
          <w:sz w:val="22"/>
          <w:szCs w:val="22"/>
          <w:highlight w:val="yellow"/>
        </w:rPr>
        <w:t xml:space="preserve"> les </w:t>
      </w:r>
      <w:proofErr w:type="spellStart"/>
      <w:r w:rsidRPr="00057C43" w:rsidR="00813090">
        <w:rPr>
          <w:rFonts w:cstheme="minorHAnsi"/>
          <w:sz w:val="22"/>
          <w:szCs w:val="22"/>
          <w:highlight w:val="yellow"/>
        </w:rPr>
        <w:t>outils</w:t>
      </w:r>
      <w:proofErr w:type="spellEnd"/>
      <w:r w:rsidRPr="00057C43" w:rsidR="00813090">
        <w:rPr>
          <w:rFonts w:cstheme="minorHAnsi"/>
          <w:sz w:val="22"/>
          <w:szCs w:val="22"/>
          <w:highlight w:val="yellow"/>
        </w:rPr>
        <w:t xml:space="preserve"> de </w:t>
      </w:r>
      <w:proofErr w:type="spellStart"/>
      <w:r w:rsidRPr="00057C43" w:rsidR="00813090">
        <w:rPr>
          <w:rFonts w:cstheme="minorHAnsi"/>
          <w:sz w:val="22"/>
          <w:szCs w:val="22"/>
          <w:highlight w:val="yellow"/>
        </w:rPr>
        <w:t>suivi</w:t>
      </w:r>
      <w:proofErr w:type="spellEnd"/>
      <w:r w:rsidRPr="00057C43" w:rsidR="00813090">
        <w:rPr>
          <w:rFonts w:cstheme="minorHAnsi"/>
          <w:sz w:val="22"/>
          <w:szCs w:val="22"/>
          <w:highlight w:val="yellow"/>
        </w:rPr>
        <w:t xml:space="preserve"> et </w:t>
      </w:r>
      <w:proofErr w:type="spellStart"/>
      <w:r w:rsidRPr="00057C43" w:rsidR="00813090">
        <w:rPr>
          <w:rFonts w:cstheme="minorHAnsi"/>
          <w:sz w:val="22"/>
          <w:szCs w:val="22"/>
          <w:highlight w:val="yellow"/>
        </w:rPr>
        <w:t>d'évaluation</w:t>
      </w:r>
      <w:proofErr w:type="spellEnd"/>
      <w:r w:rsidRPr="00057C43" w:rsidR="00813090">
        <w:rPr>
          <w:rFonts w:cstheme="minorHAnsi"/>
          <w:sz w:val="22"/>
          <w:szCs w:val="22"/>
          <w:highlight w:val="yellow"/>
        </w:rPr>
        <w:t xml:space="preserve"> qui </w:t>
      </w:r>
      <w:proofErr w:type="spellStart"/>
      <w:r w:rsidRPr="00057C43" w:rsidR="00813090">
        <w:rPr>
          <w:rFonts w:cstheme="minorHAnsi"/>
          <w:sz w:val="22"/>
          <w:szCs w:val="22"/>
          <w:highlight w:val="yellow"/>
        </w:rPr>
        <w:t>seront</w:t>
      </w:r>
      <w:proofErr w:type="spellEnd"/>
      <w:r w:rsidRPr="00057C43" w:rsidR="00813090">
        <w:rPr>
          <w:rFonts w:cstheme="minorHAnsi"/>
          <w:sz w:val="22"/>
          <w:szCs w:val="22"/>
          <w:highlight w:val="yellow"/>
        </w:rPr>
        <w:t xml:space="preserve"> mis à jour] </w:t>
      </w:r>
      <w:r w:rsidRPr="00962853" w:rsidR="00C832A5">
        <w:rPr>
          <w:rFonts w:cstheme="minorHAnsi"/>
          <w:sz w:val="22"/>
          <w:szCs w:val="22"/>
        </w:rPr>
        <w:t xml:space="preserve">sera </w:t>
      </w:r>
      <w:r w:rsidRPr="00962853" w:rsidR="00582F84">
        <w:rPr>
          <w:rFonts w:cstheme="minorHAnsi"/>
          <w:sz w:val="22"/>
          <w:szCs w:val="22"/>
        </w:rPr>
        <w:t xml:space="preserve">mis à jour pour </w:t>
      </w:r>
      <w:proofErr w:type="spellStart"/>
      <w:r w:rsidRPr="00962853" w:rsidR="00582F84">
        <w:rPr>
          <w:rFonts w:cstheme="minorHAnsi"/>
          <w:sz w:val="22"/>
          <w:szCs w:val="22"/>
        </w:rPr>
        <w:t>inclure</w:t>
      </w:r>
      <w:proofErr w:type="spellEnd"/>
      <w:r w:rsidRPr="00962853" w:rsidR="00582F84">
        <w:rPr>
          <w:rFonts w:cstheme="minorHAnsi"/>
          <w:sz w:val="22"/>
          <w:szCs w:val="22"/>
        </w:rPr>
        <w:t xml:space="preserve"> la nouvelle formulation. Les </w:t>
      </w:r>
      <w:r w:rsidR="00F031A4">
        <w:rPr>
          <w:rFonts w:cstheme="minorHAnsi"/>
          <w:sz w:val="22"/>
          <w:szCs w:val="22"/>
        </w:rPr>
        <w:t xml:space="preserve">plans de formation pour la </w:t>
      </w:r>
      <w:r w:rsidRPr="00F031A4" w:rsidR="00F031A4">
        <w:rPr>
          <w:rFonts w:cstheme="minorHAnsi"/>
          <w:sz w:val="22"/>
          <w:szCs w:val="22"/>
        </w:rPr>
        <w:t xml:space="preserve">gestion des stocks et les </w:t>
      </w:r>
      <w:proofErr w:type="spellStart"/>
      <w:r w:rsidRPr="00F031A4" w:rsidR="00F031A4">
        <w:rPr>
          <w:rFonts w:cstheme="minorHAnsi"/>
          <w:sz w:val="22"/>
          <w:szCs w:val="22"/>
        </w:rPr>
        <w:t>commandes</w:t>
      </w:r>
      <w:proofErr w:type="spellEnd"/>
      <w:r w:rsidRPr="00F031A4" w:rsidR="00F031A4">
        <w:rPr>
          <w:rFonts w:cstheme="minorHAnsi"/>
          <w:sz w:val="22"/>
          <w:szCs w:val="22"/>
        </w:rPr>
        <w:t xml:space="preserve"> </w:t>
      </w:r>
      <w:proofErr w:type="spellStart"/>
      <w:r w:rsidR="00F031A4">
        <w:rPr>
          <w:rFonts w:cstheme="minorHAnsi"/>
          <w:sz w:val="22"/>
          <w:szCs w:val="22"/>
        </w:rPr>
        <w:t>sont</w:t>
      </w:r>
      <w:proofErr w:type="spellEnd"/>
      <w:r w:rsidR="00F031A4">
        <w:rPr>
          <w:rFonts w:cstheme="minorHAnsi"/>
          <w:sz w:val="22"/>
          <w:szCs w:val="22"/>
        </w:rPr>
        <w:t xml:space="preserve"> </w:t>
      </w:r>
      <w:proofErr w:type="spellStart"/>
      <w:r w:rsidR="00F031A4">
        <w:rPr>
          <w:rFonts w:cstheme="minorHAnsi"/>
          <w:sz w:val="22"/>
          <w:szCs w:val="22"/>
        </w:rPr>
        <w:t>spécifiés</w:t>
      </w:r>
      <w:proofErr w:type="spellEnd"/>
      <w:r w:rsidR="00F031A4">
        <w:rPr>
          <w:rFonts w:cstheme="minorHAnsi"/>
          <w:sz w:val="22"/>
          <w:szCs w:val="22"/>
        </w:rPr>
        <w:t xml:space="preserve"> dans la section 4. </w:t>
      </w:r>
    </w:p>
    <w:p w:rsidRPr="00962853" w:rsidR="00D972CE" w:rsidP="00370DC1" w:rsidRDefault="00D972CE" w14:paraId="17CB484B" w14:textId="77777777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</w:p>
    <w:p w:rsidRPr="00962853" w:rsidR="00462B64" w:rsidP="00370DC1" w:rsidRDefault="00D972CE" w14:paraId="6CA125AF" w14:textId="311486FD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  <w:r w:rsidRPr="00962853">
        <w:rPr>
          <w:rFonts w:cstheme="minorHAnsi"/>
          <w:sz w:val="22"/>
          <w:szCs w:val="22"/>
        </w:rPr>
        <w:t xml:space="preserve">Les </w:t>
      </w:r>
      <w:proofErr w:type="spellStart"/>
      <w:r w:rsidRPr="00962853">
        <w:rPr>
          <w:rFonts w:cstheme="minorHAnsi"/>
          <w:sz w:val="22"/>
          <w:szCs w:val="22"/>
        </w:rPr>
        <w:t>outils</w:t>
      </w:r>
      <w:proofErr w:type="spellEnd"/>
      <w:r w:rsidRPr="00962853">
        <w:rPr>
          <w:rFonts w:cstheme="minorHAnsi"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sz w:val="22"/>
          <w:szCs w:val="22"/>
        </w:rPr>
        <w:t>suivi</w:t>
      </w:r>
      <w:proofErr w:type="spellEnd"/>
      <w:r w:rsidRPr="00962853">
        <w:rPr>
          <w:rFonts w:cstheme="minorHAnsi"/>
          <w:sz w:val="22"/>
          <w:szCs w:val="22"/>
        </w:rPr>
        <w:t xml:space="preserve"> des patients </w:t>
      </w:r>
      <w:proofErr w:type="spellStart"/>
      <w:r w:rsidRPr="00962853" w:rsidR="00DD4C61">
        <w:rPr>
          <w:rFonts w:cstheme="minorHAnsi"/>
          <w:sz w:val="22"/>
          <w:szCs w:val="22"/>
        </w:rPr>
        <w:t>seront</w:t>
      </w:r>
      <w:proofErr w:type="spellEnd"/>
      <w:r w:rsidRPr="00962853" w:rsidR="00DD4C61">
        <w:rPr>
          <w:rFonts w:cstheme="minorHAnsi"/>
          <w:sz w:val="22"/>
          <w:szCs w:val="22"/>
        </w:rPr>
        <w:t xml:space="preserve"> </w:t>
      </w:r>
      <w:proofErr w:type="spellStart"/>
      <w:r w:rsidRPr="00962853" w:rsidR="00DD4C61">
        <w:rPr>
          <w:rFonts w:cstheme="minorHAnsi"/>
          <w:sz w:val="22"/>
          <w:szCs w:val="22"/>
        </w:rPr>
        <w:t>également</w:t>
      </w:r>
      <w:proofErr w:type="spellEnd"/>
      <w:r w:rsidRPr="00962853" w:rsidR="00DD4C61">
        <w:rPr>
          <w:rFonts w:cstheme="minorHAnsi"/>
          <w:sz w:val="22"/>
          <w:szCs w:val="22"/>
        </w:rPr>
        <w:t xml:space="preserve"> </w:t>
      </w:r>
      <w:r w:rsidRPr="00962853">
        <w:rPr>
          <w:rFonts w:cstheme="minorHAnsi"/>
          <w:sz w:val="22"/>
          <w:szCs w:val="22"/>
        </w:rPr>
        <w:t xml:space="preserve">mis à jour pour </w:t>
      </w:r>
      <w:proofErr w:type="spellStart"/>
      <w:r w:rsidRPr="00962853">
        <w:rPr>
          <w:rFonts w:cstheme="minorHAnsi"/>
          <w:sz w:val="22"/>
          <w:szCs w:val="22"/>
        </w:rPr>
        <w:t>inclure</w:t>
      </w:r>
      <w:proofErr w:type="spellEnd"/>
      <w:r w:rsidRPr="00962853">
        <w:rPr>
          <w:rFonts w:cstheme="minorHAnsi"/>
          <w:sz w:val="22"/>
          <w:szCs w:val="22"/>
        </w:rPr>
        <w:t xml:space="preserve"> des formulations </w:t>
      </w:r>
      <w:proofErr w:type="spellStart"/>
      <w:r w:rsidR="00A723C2">
        <w:rPr>
          <w:rFonts w:cstheme="minorHAnsi"/>
          <w:sz w:val="22"/>
          <w:szCs w:val="22"/>
        </w:rPr>
        <w:t>basées</w:t>
      </w:r>
      <w:proofErr w:type="spellEnd"/>
      <w:r w:rsidR="00A723C2">
        <w:rPr>
          <w:rFonts w:cstheme="minorHAnsi"/>
          <w:sz w:val="22"/>
          <w:szCs w:val="22"/>
        </w:rPr>
        <w:t xml:space="preserve"> sur le pDTG </w:t>
      </w:r>
      <w:proofErr w:type="spellStart"/>
      <w:r w:rsidRPr="00962853">
        <w:rPr>
          <w:rFonts w:cstheme="minorHAnsi"/>
          <w:sz w:val="22"/>
          <w:szCs w:val="22"/>
        </w:rPr>
        <w:t>afin</w:t>
      </w:r>
      <w:proofErr w:type="spellEnd"/>
      <w:r w:rsidRPr="00962853">
        <w:rPr>
          <w:rFonts w:cstheme="minorHAnsi"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sz w:val="22"/>
          <w:szCs w:val="22"/>
        </w:rPr>
        <w:t>garantir</w:t>
      </w:r>
      <w:proofErr w:type="spellEnd"/>
      <w:r w:rsidRPr="00962853">
        <w:rPr>
          <w:rFonts w:cstheme="minorHAnsi"/>
          <w:sz w:val="22"/>
          <w:szCs w:val="22"/>
        </w:rPr>
        <w:t xml:space="preserve"> la </w:t>
      </w:r>
      <w:proofErr w:type="spellStart"/>
      <w:r w:rsidRPr="00962853">
        <w:rPr>
          <w:rFonts w:cstheme="minorHAnsi"/>
          <w:sz w:val="22"/>
          <w:szCs w:val="22"/>
        </w:rPr>
        <w:t>visibilité</w:t>
      </w:r>
      <w:proofErr w:type="spellEnd"/>
      <w:r w:rsidRPr="00962853">
        <w:rPr>
          <w:rFonts w:cstheme="minorHAnsi"/>
          <w:sz w:val="22"/>
          <w:szCs w:val="22"/>
        </w:rPr>
        <w:t xml:space="preserve"> des </w:t>
      </w:r>
      <w:proofErr w:type="spellStart"/>
      <w:r w:rsidRPr="00962853">
        <w:rPr>
          <w:rFonts w:cstheme="minorHAnsi"/>
          <w:sz w:val="22"/>
          <w:szCs w:val="22"/>
        </w:rPr>
        <w:t>progrès</w:t>
      </w:r>
      <w:proofErr w:type="spellEnd"/>
      <w:r w:rsidRPr="00962853">
        <w:rPr>
          <w:rFonts w:cstheme="minorHAnsi"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sz w:val="22"/>
          <w:szCs w:val="22"/>
        </w:rPr>
        <w:t>réalisés</w:t>
      </w:r>
      <w:proofErr w:type="spellEnd"/>
      <w:r w:rsidRPr="00962853">
        <w:rPr>
          <w:rFonts w:cstheme="minorHAnsi"/>
          <w:sz w:val="22"/>
          <w:szCs w:val="22"/>
        </w:rPr>
        <w:t xml:space="preserve"> dans le </w:t>
      </w:r>
      <w:proofErr w:type="spellStart"/>
      <w:r w:rsidRPr="00962853">
        <w:rPr>
          <w:rFonts w:cstheme="minorHAnsi"/>
          <w:sz w:val="22"/>
          <w:szCs w:val="22"/>
        </w:rPr>
        <w:t>déploiement</w:t>
      </w:r>
      <w:proofErr w:type="spellEnd"/>
      <w:r w:rsidRPr="00962853">
        <w:rPr>
          <w:rFonts w:cstheme="minorHAnsi"/>
          <w:sz w:val="22"/>
          <w:szCs w:val="22"/>
        </w:rPr>
        <w:t>.</w:t>
      </w:r>
    </w:p>
    <w:p w:rsidRPr="007F5C54" w:rsidR="00582F84" w:rsidP="00370DC1" w:rsidRDefault="00582F84" w14:paraId="17B3523E" w14:textId="4DE800A4">
      <w:pPr>
        <w:pStyle w:val="Heading1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proofErr w:type="spellStart"/>
      <w:r w:rsidRPr="007F5C54">
        <w:rPr>
          <w:rFonts w:asciiTheme="minorHAnsi" w:hAnsiTheme="minorHAnsi" w:cstheme="minorHAnsi"/>
        </w:rPr>
        <w:t>Prévisions</w:t>
      </w:r>
      <w:proofErr w:type="spellEnd"/>
      <w:r w:rsidRPr="007F5C54">
        <w:rPr>
          <w:rFonts w:asciiTheme="minorHAnsi" w:hAnsiTheme="minorHAnsi" w:cstheme="minorHAnsi"/>
        </w:rPr>
        <w:t xml:space="preserve">, quantification et </w:t>
      </w:r>
      <w:proofErr w:type="spellStart"/>
      <w:r w:rsidRPr="007F5C54">
        <w:rPr>
          <w:rFonts w:asciiTheme="minorHAnsi" w:hAnsiTheme="minorHAnsi" w:cstheme="minorHAnsi"/>
        </w:rPr>
        <w:t>marchés</w:t>
      </w:r>
      <w:proofErr w:type="spellEnd"/>
      <w:r w:rsidRPr="007F5C54">
        <w:rPr>
          <w:rFonts w:asciiTheme="minorHAnsi" w:hAnsiTheme="minorHAnsi" w:cstheme="minorHAnsi"/>
        </w:rPr>
        <w:t xml:space="preserve"> publics</w:t>
      </w:r>
    </w:p>
    <w:p w:rsidRPr="00962853" w:rsidR="00582F84" w:rsidP="00370DC1" w:rsidRDefault="00582F84" w14:paraId="6213A52E" w14:textId="696639AF">
      <w:pPr>
        <w:pStyle w:val="Heading2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proofErr w:type="spellStart"/>
      <w:r w:rsidRPr="00962853">
        <w:rPr>
          <w:rFonts w:asciiTheme="minorHAnsi" w:hAnsiTheme="minorHAnsi" w:cstheme="minorHAnsi"/>
        </w:rPr>
        <w:t>Prévisions</w:t>
      </w:r>
      <w:proofErr w:type="spellEnd"/>
      <w:r w:rsidRPr="00962853">
        <w:rPr>
          <w:rFonts w:asciiTheme="minorHAnsi" w:hAnsiTheme="minorHAnsi" w:cstheme="minorHAnsi"/>
        </w:rPr>
        <w:t xml:space="preserve"> et quantification</w:t>
      </w:r>
    </w:p>
    <w:p w:rsidRPr="00962853" w:rsidR="0080209B" w:rsidP="00370DC1" w:rsidRDefault="00A32A62" w14:paraId="26B4C49B" w14:textId="77D421AE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  <w:r w:rsidRPr="004D7B65">
        <w:rPr>
          <w:rFonts w:cstheme="minorHAnsi"/>
          <w:i/>
          <w:iCs/>
          <w:sz w:val="22"/>
          <w:szCs w:val="22"/>
          <w:highlight w:val="yellow"/>
        </w:rPr>
        <w:t>[</w:t>
      </w:r>
      <w:proofErr w:type="spellStart"/>
      <w:r w:rsidRPr="004D7B65">
        <w:rPr>
          <w:rFonts w:cstheme="minorHAnsi"/>
          <w:i/>
          <w:iCs/>
          <w:sz w:val="22"/>
          <w:szCs w:val="22"/>
          <w:highlight w:val="yellow"/>
        </w:rPr>
        <w:t>Insérer</w:t>
      </w:r>
      <w:proofErr w:type="spellEnd"/>
      <w:r w:rsidRPr="004D7B65">
        <w:rPr>
          <w:rFonts w:cstheme="minorHAnsi"/>
          <w:i/>
          <w:iCs/>
          <w:sz w:val="22"/>
          <w:szCs w:val="22"/>
          <w:highlight w:val="yellow"/>
        </w:rPr>
        <w:t xml:space="preserve"> un résumé de la manière </w:t>
      </w:r>
      <w:proofErr w:type="spellStart"/>
      <w:r w:rsidRPr="004D7B65">
        <w:rPr>
          <w:rFonts w:cstheme="minorHAnsi"/>
          <w:i/>
          <w:iCs/>
          <w:sz w:val="22"/>
          <w:szCs w:val="22"/>
          <w:highlight w:val="yellow"/>
        </w:rPr>
        <w:t>dont</w:t>
      </w:r>
      <w:proofErr w:type="spellEnd"/>
      <w:r w:rsidRPr="004D7B65">
        <w:rPr>
          <w:rFonts w:cstheme="minorHAnsi"/>
          <w:i/>
          <w:iCs/>
          <w:sz w:val="22"/>
          <w:szCs w:val="22"/>
          <w:highlight w:val="yellow"/>
        </w:rPr>
        <w:t xml:space="preserve"> la quantification a </w:t>
      </w:r>
      <w:proofErr w:type="spellStart"/>
      <w:r w:rsidRPr="004D7B65">
        <w:rPr>
          <w:rFonts w:cstheme="minorHAnsi"/>
          <w:i/>
          <w:iCs/>
          <w:sz w:val="22"/>
          <w:szCs w:val="22"/>
          <w:highlight w:val="yellow"/>
        </w:rPr>
        <w:t>été</w:t>
      </w:r>
      <w:proofErr w:type="spellEnd"/>
      <w:r w:rsidRPr="004D7B65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proofErr w:type="spellStart"/>
      <w:r w:rsidRPr="004D7B65" w:rsidR="00524ECA">
        <w:rPr>
          <w:rFonts w:cstheme="minorHAnsi"/>
          <w:i/>
          <w:iCs/>
          <w:sz w:val="22"/>
          <w:szCs w:val="22"/>
          <w:highlight w:val="yellow"/>
        </w:rPr>
        <w:t>ou</w:t>
      </w:r>
      <w:proofErr w:type="spellEnd"/>
      <w:r w:rsidRPr="004D7B65" w:rsidR="00524ECA">
        <w:rPr>
          <w:rFonts w:cstheme="minorHAnsi"/>
          <w:i/>
          <w:iCs/>
          <w:sz w:val="22"/>
          <w:szCs w:val="22"/>
          <w:highlight w:val="yellow"/>
        </w:rPr>
        <w:t xml:space="preserve"> sera </w:t>
      </w:r>
      <w:proofErr w:type="spellStart"/>
      <w:r w:rsidRPr="004D7B65" w:rsidR="00524ECA">
        <w:rPr>
          <w:rFonts w:cstheme="minorHAnsi"/>
          <w:i/>
          <w:iCs/>
          <w:sz w:val="22"/>
          <w:szCs w:val="22"/>
          <w:highlight w:val="yellow"/>
        </w:rPr>
        <w:t>effectuée</w:t>
      </w:r>
      <w:proofErr w:type="spellEnd"/>
      <w:r w:rsidRPr="004D7B65" w:rsidR="00524ECA">
        <w:rPr>
          <w:rFonts w:cstheme="minorHAnsi"/>
          <w:i/>
          <w:iCs/>
          <w:sz w:val="22"/>
          <w:szCs w:val="22"/>
          <w:highlight w:val="yellow"/>
        </w:rPr>
        <w:t xml:space="preserve">, </w:t>
      </w:r>
      <w:r w:rsidRPr="004D7B65">
        <w:rPr>
          <w:rFonts w:cstheme="minorHAnsi"/>
          <w:i/>
          <w:iCs/>
          <w:sz w:val="22"/>
          <w:szCs w:val="22"/>
          <w:highlight w:val="yellow"/>
        </w:rPr>
        <w:t xml:space="preserve">y </w:t>
      </w:r>
      <w:proofErr w:type="spellStart"/>
      <w:r w:rsidRPr="004D7B65">
        <w:rPr>
          <w:rFonts w:cstheme="minorHAnsi"/>
          <w:i/>
          <w:iCs/>
          <w:sz w:val="22"/>
          <w:szCs w:val="22"/>
          <w:highlight w:val="yellow"/>
        </w:rPr>
        <w:t>compris</w:t>
      </w:r>
      <w:proofErr w:type="spellEnd"/>
      <w:r w:rsidRPr="004D7B65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proofErr w:type="spellStart"/>
      <w:r w:rsidRPr="004D7B65">
        <w:rPr>
          <w:rFonts w:cstheme="minorHAnsi"/>
          <w:i/>
          <w:iCs/>
          <w:sz w:val="22"/>
          <w:szCs w:val="22"/>
          <w:highlight w:val="yellow"/>
        </w:rPr>
        <w:t>toutes</w:t>
      </w:r>
      <w:proofErr w:type="spellEnd"/>
      <w:r w:rsidRPr="004D7B65">
        <w:rPr>
          <w:rFonts w:cstheme="minorHAnsi"/>
          <w:i/>
          <w:iCs/>
          <w:sz w:val="22"/>
          <w:szCs w:val="22"/>
          <w:highlight w:val="yellow"/>
        </w:rPr>
        <w:t xml:space="preserve"> les </w:t>
      </w:r>
      <w:proofErr w:type="spellStart"/>
      <w:r w:rsidRPr="004D7B65">
        <w:rPr>
          <w:rFonts w:cstheme="minorHAnsi"/>
          <w:i/>
          <w:iCs/>
          <w:sz w:val="22"/>
          <w:szCs w:val="22"/>
          <w:highlight w:val="yellow"/>
        </w:rPr>
        <w:t>hypothèses</w:t>
      </w:r>
      <w:proofErr w:type="spellEnd"/>
      <w:r w:rsidRPr="004D7B65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 xml:space="preserve">; </w:t>
      </w:r>
      <w:proofErr w:type="spellStart"/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>fournir</w:t>
      </w:r>
      <w:proofErr w:type="spellEnd"/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proofErr w:type="spellStart"/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>également</w:t>
      </w:r>
      <w:proofErr w:type="spellEnd"/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 xml:space="preserve"> des </w:t>
      </w:r>
      <w:proofErr w:type="spellStart"/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>informations</w:t>
      </w:r>
      <w:proofErr w:type="spellEnd"/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proofErr w:type="spellStart"/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>actualisées</w:t>
      </w:r>
      <w:proofErr w:type="spellEnd"/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 xml:space="preserve"> sur les </w:t>
      </w:r>
      <w:proofErr w:type="spellStart"/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>commandes</w:t>
      </w:r>
      <w:proofErr w:type="spellEnd"/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proofErr w:type="spellStart"/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>passées</w:t>
      </w:r>
      <w:proofErr w:type="spellEnd"/>
      <w:r w:rsidR="004D7B65">
        <w:rPr>
          <w:rFonts w:cstheme="minorHAnsi"/>
          <w:i/>
          <w:iCs/>
          <w:sz w:val="22"/>
          <w:szCs w:val="22"/>
          <w:highlight w:val="yellow"/>
        </w:rPr>
        <w:t xml:space="preserve">, les </w:t>
      </w:r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 xml:space="preserve">dates de livraison </w:t>
      </w:r>
      <w:proofErr w:type="spellStart"/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>prévues</w:t>
      </w:r>
      <w:proofErr w:type="spellEnd"/>
      <w:r w:rsidRPr="004D7B65" w:rsidR="0080209B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r w:rsidR="004D7B65">
        <w:rPr>
          <w:rFonts w:cstheme="minorHAnsi"/>
          <w:i/>
          <w:iCs/>
          <w:sz w:val="22"/>
          <w:szCs w:val="22"/>
          <w:highlight w:val="yellow"/>
        </w:rPr>
        <w:t xml:space="preserve">et la date de la </w:t>
      </w:r>
      <w:proofErr w:type="spellStart"/>
      <w:r w:rsidR="004D7B65">
        <w:rPr>
          <w:rFonts w:cstheme="minorHAnsi"/>
          <w:i/>
          <w:iCs/>
          <w:sz w:val="22"/>
          <w:szCs w:val="22"/>
          <w:highlight w:val="yellow"/>
        </w:rPr>
        <w:t>prochaine</w:t>
      </w:r>
      <w:proofErr w:type="spellEnd"/>
      <w:r w:rsidR="004D7B65">
        <w:rPr>
          <w:rFonts w:cstheme="minorHAnsi"/>
          <w:i/>
          <w:iCs/>
          <w:sz w:val="22"/>
          <w:szCs w:val="22"/>
          <w:highlight w:val="yellow"/>
        </w:rPr>
        <w:t xml:space="preserve"> </w:t>
      </w:r>
      <w:proofErr w:type="spellStart"/>
      <w:r w:rsidR="004D7B65">
        <w:rPr>
          <w:rFonts w:cstheme="minorHAnsi"/>
          <w:i/>
          <w:iCs/>
          <w:sz w:val="22"/>
          <w:szCs w:val="22"/>
          <w:highlight w:val="yellow"/>
        </w:rPr>
        <w:t>révision</w:t>
      </w:r>
      <w:proofErr w:type="spellEnd"/>
      <w:r w:rsidR="004D7B65">
        <w:rPr>
          <w:rFonts w:cstheme="minorHAnsi"/>
          <w:i/>
          <w:iCs/>
          <w:sz w:val="22"/>
          <w:szCs w:val="22"/>
          <w:highlight w:val="yellow"/>
        </w:rPr>
        <w:t xml:space="preserve"> des volumes de pDTG</w:t>
      </w:r>
      <w:r w:rsidRPr="004D7B65">
        <w:rPr>
          <w:rFonts w:cstheme="minorHAnsi"/>
          <w:i/>
          <w:iCs/>
          <w:sz w:val="22"/>
          <w:szCs w:val="22"/>
          <w:highlight w:val="yellow"/>
        </w:rPr>
        <w:t>]</w:t>
      </w:r>
    </w:p>
    <w:p w:rsidRPr="00962853" w:rsidR="0080209B" w:rsidP="00370DC1" w:rsidRDefault="0080209B" w14:paraId="07D74B2F" w14:textId="77777777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</w:p>
    <w:p w:rsidRPr="00962853" w:rsidR="00DB6144" w:rsidP="00370DC1" w:rsidRDefault="00AF7683" w14:paraId="7FE7418D" w14:textId="49E19E07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  <w:r w:rsidRPr="00962853">
        <w:rPr>
          <w:rFonts w:cstheme="minorHAnsi"/>
          <w:sz w:val="22"/>
          <w:szCs w:val="22"/>
        </w:rPr>
        <w:t xml:space="preserve">Le </w:t>
      </w:r>
      <w:commentRangeStart w:id="4"/>
      <w:r w:rsidRPr="00962853">
        <w:rPr>
          <w:rFonts w:cstheme="minorHAnsi"/>
          <w:sz w:val="22"/>
          <w:szCs w:val="22"/>
        </w:rPr>
        <w:t xml:space="preserve">tableau </w:t>
      </w:r>
      <w:commentRangeEnd w:id="4"/>
      <w:r w:rsidR="00A62E20">
        <w:rPr>
          <w:rStyle w:val="CommentReference"/>
        </w:rPr>
        <w:commentReference w:id="4"/>
      </w:r>
      <w:r w:rsidRPr="00962853" w:rsidR="00AA102F">
        <w:rPr>
          <w:rFonts w:cstheme="minorHAnsi"/>
          <w:sz w:val="22"/>
          <w:szCs w:val="22"/>
        </w:rPr>
        <w:t xml:space="preserve">ci-dessous </w:t>
      </w:r>
      <w:proofErr w:type="spellStart"/>
      <w:r w:rsidRPr="00962853">
        <w:rPr>
          <w:rFonts w:cstheme="minorHAnsi"/>
          <w:sz w:val="22"/>
          <w:szCs w:val="22"/>
        </w:rPr>
        <w:t>donne</w:t>
      </w:r>
      <w:proofErr w:type="spellEnd"/>
      <w:r w:rsidRPr="00962853">
        <w:rPr>
          <w:rFonts w:cstheme="minorHAnsi"/>
          <w:sz w:val="22"/>
          <w:szCs w:val="22"/>
        </w:rPr>
        <w:t xml:space="preserve"> un aperçu </w:t>
      </w:r>
      <w:proofErr w:type="spellStart"/>
      <w:r w:rsidRPr="00962853">
        <w:rPr>
          <w:rFonts w:cstheme="minorHAnsi"/>
          <w:sz w:val="22"/>
          <w:szCs w:val="22"/>
        </w:rPr>
        <w:t>général</w:t>
      </w:r>
      <w:proofErr w:type="spellEnd"/>
      <w:r w:rsidRPr="00962853">
        <w:rPr>
          <w:rFonts w:cstheme="minorHAnsi"/>
          <w:sz w:val="22"/>
          <w:szCs w:val="22"/>
        </w:rPr>
        <w:t xml:space="preserve"> du plan national de transition, </w:t>
      </w:r>
      <w:proofErr w:type="spellStart"/>
      <w:r w:rsidRPr="00962853">
        <w:rPr>
          <w:rFonts w:cstheme="minorHAnsi"/>
          <w:sz w:val="22"/>
          <w:szCs w:val="22"/>
        </w:rPr>
        <w:t>divisé</w:t>
      </w:r>
      <w:proofErr w:type="spellEnd"/>
      <w:r w:rsidRPr="00962853">
        <w:rPr>
          <w:rFonts w:cstheme="minorHAnsi"/>
          <w:sz w:val="22"/>
          <w:szCs w:val="22"/>
        </w:rPr>
        <w:t xml:space="preserve"> par </w:t>
      </w:r>
      <w:proofErr w:type="spellStart"/>
      <w:r w:rsidRPr="00962853">
        <w:rPr>
          <w:rFonts w:cstheme="minorHAnsi"/>
          <w:sz w:val="22"/>
          <w:szCs w:val="22"/>
        </w:rPr>
        <w:t>secteur</w:t>
      </w:r>
      <w:proofErr w:type="spellEnd"/>
      <w:r w:rsidRPr="00962853">
        <w:rPr>
          <w:rFonts w:cstheme="minorHAnsi"/>
          <w:sz w:val="22"/>
          <w:szCs w:val="22"/>
        </w:rPr>
        <w:t xml:space="preserve"> public/</w:t>
      </w:r>
      <w:proofErr w:type="spellStart"/>
      <w:r w:rsidRPr="00962853">
        <w:rPr>
          <w:rFonts w:cstheme="minorHAnsi"/>
          <w:sz w:val="22"/>
          <w:szCs w:val="22"/>
        </w:rPr>
        <w:t>privé</w:t>
      </w:r>
      <w:proofErr w:type="spellEnd"/>
      <w:r w:rsidRPr="00962853">
        <w:rPr>
          <w:rFonts w:cstheme="minorHAnsi"/>
          <w:sz w:val="22"/>
          <w:szCs w:val="22"/>
        </w:rPr>
        <w:t xml:space="preserve"> et par phase I/phase </w:t>
      </w:r>
      <w:r w:rsidR="0043046F">
        <w:rPr>
          <w:rFonts w:cstheme="minorHAnsi"/>
          <w:sz w:val="22"/>
          <w:szCs w:val="22"/>
        </w:rPr>
        <w:t>II</w:t>
      </w:r>
      <w:r w:rsidRPr="00962853">
        <w:rPr>
          <w:rFonts w:cstheme="minorHAnsi"/>
          <w:sz w:val="22"/>
          <w:szCs w:val="22"/>
        </w:rPr>
        <w:t>.</w:t>
      </w:r>
    </w:p>
    <w:p w:rsidRPr="00962853" w:rsidR="00582F84" w:rsidP="00370DC1" w:rsidRDefault="00582F84" w14:paraId="65CAB6DB" w14:textId="77777777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Pr="001254D5" w:rsidR="009B0E41" w:rsidTr="009B0E41" w14:paraId="232B823E" w14:textId="77777777">
        <w:tc>
          <w:tcPr>
            <w:tcW w:w="9340" w:type="dxa"/>
            <w:shd w:val="clear" w:color="auto" w:fill="BFBFBF" w:themeFill="background1" w:themeFillShade="BF"/>
          </w:tcPr>
          <w:p w:rsidRPr="001254D5" w:rsidR="009B0E41" w:rsidP="00370DC1" w:rsidRDefault="009B0E41" w14:paraId="2CD5DA7C" w14:textId="201D107E">
            <w:pPr>
              <w:pStyle w:val="EndnoteText"/>
              <w:spacing w:line="276" w:lineRule="auto"/>
              <w:jc w:val="both"/>
              <w:rPr>
                <w:rFonts w:cstheme="minorHAnsi"/>
                <w:b/>
                <w:i/>
                <w:iCs/>
                <w:sz w:val="22"/>
                <w:szCs w:val="22"/>
              </w:rPr>
            </w:pPr>
            <w:r w:rsidRPr="001254D5">
              <w:rPr>
                <w:rFonts w:cstheme="minorHAnsi"/>
                <w:b/>
                <w:i/>
                <w:iCs/>
                <w:sz w:val="22"/>
                <w:szCs w:val="22"/>
              </w:rPr>
              <w:t xml:space="preserve">Tableau </w:t>
            </w:r>
            <w:r w:rsidR="003D0A76">
              <w:rPr>
                <w:rFonts w:cstheme="minorHAnsi"/>
                <w:b/>
                <w:i/>
                <w:iCs/>
                <w:sz w:val="22"/>
                <w:szCs w:val="22"/>
              </w:rPr>
              <w:t xml:space="preserve">5 </w:t>
            </w:r>
            <w:r w:rsidRPr="001254D5">
              <w:rPr>
                <w:rFonts w:cstheme="minorHAnsi"/>
                <w:b/>
                <w:i/>
                <w:iCs/>
                <w:sz w:val="22"/>
                <w:szCs w:val="22"/>
              </w:rPr>
              <w:t xml:space="preserve">: </w:t>
            </w:r>
            <w:r w:rsidRPr="001254D5" w:rsidR="00AF7683">
              <w:rPr>
                <w:rFonts w:cstheme="minorHAnsi"/>
                <w:b/>
                <w:i/>
                <w:iCs/>
                <w:sz w:val="22"/>
                <w:szCs w:val="22"/>
              </w:rPr>
              <w:t xml:space="preserve">Résumé de haut </w:t>
            </w:r>
            <w:proofErr w:type="spellStart"/>
            <w:r w:rsidRPr="001254D5" w:rsidR="00AF7683">
              <w:rPr>
                <w:rFonts w:cstheme="minorHAnsi"/>
                <w:b/>
                <w:i/>
                <w:iCs/>
                <w:sz w:val="22"/>
                <w:szCs w:val="22"/>
              </w:rPr>
              <w:t>niveau</w:t>
            </w:r>
            <w:proofErr w:type="spellEnd"/>
            <w:r w:rsidRPr="001254D5" w:rsidR="00AF7683">
              <w:rPr>
                <w:rFonts w:cstheme="minorHAnsi"/>
                <w:b/>
                <w:i/>
                <w:iCs/>
                <w:sz w:val="22"/>
                <w:szCs w:val="22"/>
              </w:rPr>
              <w:t xml:space="preserve"> de la mise </w:t>
            </w:r>
            <w:proofErr w:type="spellStart"/>
            <w:r w:rsidRPr="001254D5" w:rsidR="00AF7683">
              <w:rPr>
                <w:rFonts w:cstheme="minorHAnsi"/>
                <w:b/>
                <w:i/>
                <w:iCs/>
                <w:sz w:val="22"/>
                <w:szCs w:val="22"/>
              </w:rPr>
              <w:t>en</w:t>
            </w:r>
            <w:proofErr w:type="spellEnd"/>
            <w:r w:rsidRPr="001254D5" w:rsidR="00AF7683">
              <w:rPr>
                <w:rFonts w:cstheme="minorHAnsi"/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254D5" w:rsidR="00AF7683">
              <w:rPr>
                <w:rFonts w:cstheme="minorHAnsi"/>
                <w:b/>
                <w:i/>
                <w:iCs/>
                <w:sz w:val="22"/>
                <w:szCs w:val="22"/>
              </w:rPr>
              <w:t>œuvre</w:t>
            </w:r>
            <w:proofErr w:type="spellEnd"/>
            <w:r w:rsidRPr="001254D5" w:rsidR="00AF7683">
              <w:rPr>
                <w:rFonts w:cstheme="minorHAnsi"/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254D5">
              <w:rPr>
                <w:rFonts w:cstheme="minorHAnsi"/>
                <w:b/>
                <w:i/>
                <w:iCs/>
                <w:sz w:val="22"/>
                <w:szCs w:val="22"/>
              </w:rPr>
              <w:t>nationale</w:t>
            </w:r>
            <w:proofErr w:type="spellEnd"/>
            <w:r w:rsidRPr="001254D5">
              <w:rPr>
                <w:rFonts w:cstheme="minorHAnsi"/>
                <w:b/>
                <w:i/>
                <w:iCs/>
                <w:sz w:val="22"/>
                <w:szCs w:val="22"/>
              </w:rPr>
              <w:t xml:space="preserve"> au </w:t>
            </w:r>
            <w:proofErr w:type="spellStart"/>
            <w:r w:rsidRPr="001254D5" w:rsidR="00E9120F">
              <w:rPr>
                <w:rFonts w:cstheme="minorHAnsi"/>
                <w:b/>
                <w:i/>
                <w:iCs/>
                <w:sz w:val="22"/>
                <w:szCs w:val="22"/>
              </w:rPr>
              <w:t>niveau</w:t>
            </w:r>
            <w:proofErr w:type="spellEnd"/>
            <w:r w:rsidRPr="001254D5" w:rsidR="00E9120F">
              <w:rPr>
                <w:rFonts w:cstheme="minorHAnsi"/>
                <w:b/>
                <w:i/>
                <w:iCs/>
                <w:sz w:val="22"/>
                <w:szCs w:val="22"/>
              </w:rPr>
              <w:t xml:space="preserve"> des </w:t>
            </w:r>
            <w:proofErr w:type="spellStart"/>
            <w:r w:rsidRPr="001254D5" w:rsidR="00E9120F">
              <w:rPr>
                <w:rFonts w:cstheme="minorHAnsi"/>
                <w:b/>
                <w:i/>
                <w:iCs/>
                <w:sz w:val="22"/>
                <w:szCs w:val="22"/>
              </w:rPr>
              <w:t>établissements</w:t>
            </w:r>
            <w:proofErr w:type="spellEnd"/>
            <w:r w:rsidRPr="001254D5" w:rsidR="00E9120F">
              <w:rPr>
                <w:rFonts w:cstheme="minorHAnsi"/>
                <w:b/>
                <w:i/>
                <w:iCs/>
                <w:sz w:val="22"/>
                <w:szCs w:val="22"/>
              </w:rPr>
              <w:t xml:space="preserve"> pour les patients</w:t>
            </w:r>
          </w:p>
        </w:tc>
      </w:tr>
      <w:tr w:rsidRPr="001254D5" w:rsidR="009B0E41" w:rsidTr="009B0E41" w14:paraId="2395E72E" w14:textId="77777777">
        <w:tc>
          <w:tcPr>
            <w:tcW w:w="9340" w:type="dxa"/>
          </w:tcPr>
          <w:p w:rsidRPr="001254D5" w:rsidR="009B0E41" w:rsidP="00370DC1" w:rsidRDefault="009B0E41" w14:paraId="57304B08" w14:textId="77777777">
            <w:pPr>
              <w:pStyle w:val="EndnoteText"/>
              <w:spacing w:line="276" w:lineRule="auto"/>
              <w:jc w:val="both"/>
              <w:rPr>
                <w:rFonts w:cstheme="minorHAnsi"/>
                <w:i/>
                <w:iCs/>
                <w:noProof/>
              </w:rPr>
            </w:pPr>
          </w:p>
          <w:p w:rsidRPr="007D5543" w:rsidR="00AF7683" w:rsidP="00370DC1" w:rsidRDefault="00A26F16" w14:paraId="15E5951B" w14:textId="50F79B40">
            <w:pPr>
              <w:pStyle w:val="EndnoteText"/>
              <w:spacing w:line="276" w:lineRule="auto"/>
              <w:jc w:val="both"/>
              <w:rPr>
                <w:rFonts w:cstheme="minorHAnsi"/>
                <w:i/>
                <w:iCs/>
                <w:noProof/>
              </w:rPr>
            </w:pPr>
            <w:r>
              <w:rPr>
                <w:noProof/>
              </w:rPr>
              <w:t xml:space="preserve"> </w:t>
            </w:r>
            <w:r w:rsidRPr="002162B7" w:rsidR="002162B7">
              <w:rPr>
                <w:noProof/>
              </w:rPr>
              <w:drawing>
                <wp:inline distT="0" distB="0" distL="0" distR="0" wp14:anchorId="460BD1FF" wp14:editId="4E84051E">
                  <wp:extent cx="5943600" cy="267589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675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3D0A76" w:rsidR="00450BFA" w:rsidP="00370DC1" w:rsidRDefault="00450BFA" w14:paraId="6AD928E9" w14:textId="77777777">
      <w:pPr>
        <w:pStyle w:val="EndnoteText"/>
        <w:spacing w:line="276" w:lineRule="auto"/>
        <w:jc w:val="both"/>
        <w:rPr>
          <w:rFonts w:cstheme="minorHAnsi"/>
          <w:sz w:val="22"/>
          <w:szCs w:val="22"/>
          <w:lang w:val="en-GB"/>
        </w:rPr>
      </w:pPr>
    </w:p>
    <w:p w:rsidRPr="00962853" w:rsidR="00582F84" w:rsidP="00370DC1" w:rsidRDefault="00582F84" w14:paraId="51DC9921" w14:textId="793D9DD1">
      <w:pPr>
        <w:pStyle w:val="Heading2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 w:rsidRPr="00962853">
        <w:rPr>
          <w:rFonts w:asciiTheme="minorHAnsi" w:hAnsiTheme="minorHAnsi" w:cstheme="minorHAnsi"/>
        </w:rPr>
        <w:lastRenderedPageBreak/>
        <w:t xml:space="preserve">Plan de </w:t>
      </w:r>
      <w:r w:rsidRPr="00962853" w:rsidR="00B04E31">
        <w:rPr>
          <w:rFonts w:asciiTheme="minorHAnsi" w:hAnsiTheme="minorHAnsi" w:cstheme="minorHAnsi"/>
        </w:rPr>
        <w:t xml:space="preserve">transition </w:t>
      </w:r>
    </w:p>
    <w:p w:rsidRPr="00962853" w:rsidR="00C65D7E" w:rsidP="00C65D7E" w:rsidRDefault="00C65D7E" w14:paraId="4FC73725" w14:textId="77777777">
      <w:pPr>
        <w:pStyle w:val="Heading3"/>
        <w:numPr>
          <w:ilvl w:val="2"/>
          <w:numId w:val="23"/>
        </w:numPr>
        <w:jc w:val="both"/>
        <w:rPr>
          <w:rFonts w:asciiTheme="minorHAnsi" w:hAnsiTheme="minorHAnsi" w:cstheme="minorHAnsi"/>
        </w:rPr>
      </w:pPr>
      <w:r w:rsidRPr="00962853">
        <w:rPr>
          <w:rFonts w:asciiTheme="minorHAnsi" w:hAnsiTheme="minorHAnsi" w:cstheme="minorHAnsi"/>
        </w:rPr>
        <w:t xml:space="preserve">Stock </w:t>
      </w:r>
      <w:proofErr w:type="spellStart"/>
      <w:r w:rsidRPr="00962853">
        <w:rPr>
          <w:rFonts w:asciiTheme="minorHAnsi" w:hAnsiTheme="minorHAnsi" w:cstheme="minorHAnsi"/>
        </w:rPr>
        <w:t>actuel</w:t>
      </w:r>
      <w:proofErr w:type="spellEnd"/>
      <w:r w:rsidRPr="00962853">
        <w:rPr>
          <w:rFonts w:asciiTheme="minorHAnsi" w:hAnsiTheme="minorHAnsi" w:cstheme="minorHAnsi"/>
        </w:rPr>
        <w:t xml:space="preserve"> et pipeline</w:t>
      </w:r>
    </w:p>
    <w:p w:rsidR="00C65D7E" w:rsidP="00C65D7E" w:rsidRDefault="00C65D7E" w14:paraId="2573350F" w14:textId="7BCADFF2">
      <w:pPr>
        <w:pStyle w:val="EndnoteText"/>
        <w:spacing w:line="276" w:lineRule="auto"/>
        <w:jc w:val="both"/>
        <w:rPr>
          <w:rFonts w:cstheme="minorHAnsi"/>
          <w:bCs/>
          <w:i/>
          <w:iCs/>
          <w:sz w:val="22"/>
          <w:szCs w:val="22"/>
        </w:rPr>
      </w:pPr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>[</w:t>
      </w:r>
      <w:proofErr w:type="spellStart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>résumer</w:t>
      </w:r>
      <w:proofErr w:type="spellEnd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 xml:space="preserve"> le SOH et le pipeline des </w:t>
      </w:r>
      <w:proofErr w:type="spellStart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>anciens</w:t>
      </w:r>
      <w:proofErr w:type="spellEnd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 xml:space="preserve"> régimes et du pDTG] </w:t>
      </w:r>
    </w:p>
    <w:p w:rsidRPr="008E048A" w:rsidR="00C65D7E" w:rsidP="008E048A" w:rsidRDefault="00C65D7E" w14:paraId="30FE3B21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Pr="00962853" w:rsidR="00B04E31" w:rsidP="00370DC1" w:rsidRDefault="00B04E31" w14:paraId="625B2F3E" w14:textId="31F1D488">
      <w:pPr>
        <w:pStyle w:val="Heading3"/>
        <w:numPr>
          <w:ilvl w:val="2"/>
          <w:numId w:val="23"/>
        </w:numPr>
        <w:jc w:val="both"/>
        <w:rPr>
          <w:rFonts w:asciiTheme="minorHAnsi" w:hAnsiTheme="minorHAnsi" w:cstheme="minorHAnsi"/>
        </w:rPr>
      </w:pPr>
      <w:r w:rsidRPr="00962853">
        <w:rPr>
          <w:rFonts w:asciiTheme="minorHAnsi" w:hAnsiTheme="minorHAnsi" w:cstheme="minorHAnsi"/>
        </w:rPr>
        <w:t xml:space="preserve">Transition des patients </w:t>
      </w:r>
      <w:proofErr w:type="spellStart"/>
      <w:r w:rsidRPr="00962853">
        <w:rPr>
          <w:rFonts w:asciiTheme="minorHAnsi" w:hAnsiTheme="minorHAnsi" w:cstheme="minorHAnsi"/>
        </w:rPr>
        <w:t>existants</w:t>
      </w:r>
      <w:proofErr w:type="spellEnd"/>
    </w:p>
    <w:p w:rsidRPr="00AA25FF" w:rsidR="0070220A" w:rsidP="00370DC1" w:rsidRDefault="00D46F25" w14:paraId="30F54C65" w14:textId="0482EC74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  <w:highlight w:val="yellow"/>
        </w:rPr>
      </w:pPr>
      <w:r w:rsidRPr="00D46F25">
        <w:rPr>
          <w:rFonts w:cstheme="minorHAnsi"/>
          <w:bCs/>
          <w:sz w:val="22"/>
          <w:szCs w:val="22"/>
        </w:rPr>
        <w:t xml:space="preserve">La </w:t>
      </w:r>
      <w:r w:rsidRPr="003610AC">
        <w:rPr>
          <w:rFonts w:cstheme="minorHAnsi"/>
          <w:bCs/>
          <w:i/>
          <w:iCs/>
          <w:sz w:val="22"/>
          <w:szCs w:val="22"/>
          <w:highlight w:val="yellow"/>
        </w:rPr>
        <w:t xml:space="preserve">CHAI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recommande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que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tous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les enfants </w:t>
      </w:r>
      <w:r w:rsidR="00C177B8">
        <w:rPr>
          <w:rFonts w:cstheme="minorHAnsi"/>
          <w:bCs/>
          <w:sz w:val="22"/>
          <w:szCs w:val="22"/>
        </w:rPr>
        <w:t>de</w:t>
      </w:r>
      <w:r w:rsidRPr="00C177B8" w:rsidR="00C177B8">
        <w:rPr>
          <w:rFonts w:cstheme="minorHAnsi"/>
          <w:bCs/>
          <w:sz w:val="22"/>
          <w:szCs w:val="22"/>
        </w:rPr>
        <w:t xml:space="preserve"> plus de 4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semaines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et </w:t>
      </w:r>
      <w:proofErr w:type="spellStart"/>
      <w:r w:rsidR="00C177B8">
        <w:rPr>
          <w:rFonts w:cstheme="minorHAnsi"/>
          <w:bCs/>
          <w:sz w:val="22"/>
          <w:szCs w:val="22"/>
        </w:rPr>
        <w:t>pesant</w:t>
      </w:r>
      <w:proofErr w:type="spellEnd"/>
      <w:r w:rsidR="00C177B8">
        <w:rPr>
          <w:rFonts w:cstheme="minorHAnsi"/>
          <w:bCs/>
          <w:sz w:val="22"/>
          <w:szCs w:val="22"/>
        </w:rPr>
        <w:t xml:space="preserve"> </w:t>
      </w:r>
      <w:r w:rsidRPr="00C177B8" w:rsidR="00C177B8">
        <w:rPr>
          <w:rFonts w:cstheme="minorHAnsi"/>
          <w:bCs/>
          <w:sz w:val="22"/>
          <w:szCs w:val="22"/>
        </w:rPr>
        <w:t xml:space="preserve">entre 3 et 20 kg qui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ont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déjà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subi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une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suppression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virale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soient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transférés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au pDTG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en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raison de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sa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supériorité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clinique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</w:t>
      </w:r>
      <w:r>
        <w:rPr>
          <w:rFonts w:cstheme="minorHAnsi"/>
          <w:bCs/>
          <w:sz w:val="22"/>
          <w:szCs w:val="22"/>
        </w:rPr>
        <w:t xml:space="preserve">et de </w:t>
      </w:r>
      <w:proofErr w:type="spellStart"/>
      <w:r>
        <w:rPr>
          <w:rFonts w:cstheme="minorHAnsi"/>
          <w:bCs/>
          <w:sz w:val="22"/>
          <w:szCs w:val="22"/>
        </w:rPr>
        <w:t>sa</w:t>
      </w:r>
      <w:proofErr w:type="spellEnd"/>
      <w:r>
        <w:rPr>
          <w:rFonts w:cstheme="minorHAnsi"/>
          <w:bCs/>
          <w:sz w:val="22"/>
          <w:szCs w:val="22"/>
        </w:rPr>
        <w:t xml:space="preserve">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meilleure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observance des </w:t>
      </w:r>
      <w:proofErr w:type="spellStart"/>
      <w:r w:rsidRPr="00C177B8" w:rsidR="00C177B8">
        <w:rPr>
          <w:rFonts w:cstheme="minorHAnsi"/>
          <w:bCs/>
          <w:sz w:val="22"/>
          <w:szCs w:val="22"/>
        </w:rPr>
        <w:t>autres</w:t>
      </w:r>
      <w:proofErr w:type="spellEnd"/>
      <w:r w:rsidRPr="00C177B8" w:rsidR="00C177B8">
        <w:rPr>
          <w:rFonts w:cstheme="minorHAnsi"/>
          <w:bCs/>
          <w:sz w:val="22"/>
          <w:szCs w:val="22"/>
        </w:rPr>
        <w:t xml:space="preserve"> ARV. </w:t>
      </w:r>
      <w:r w:rsidRPr="00D46F25">
        <w:rPr>
          <w:rFonts w:cstheme="minorHAnsi"/>
          <w:bCs/>
          <w:sz w:val="22"/>
          <w:szCs w:val="22"/>
        </w:rPr>
        <w:t xml:space="preserve">La suppression </w:t>
      </w:r>
      <w:proofErr w:type="spellStart"/>
      <w:r w:rsidRPr="00D46F25">
        <w:rPr>
          <w:rFonts w:cstheme="minorHAnsi"/>
          <w:bCs/>
          <w:sz w:val="22"/>
          <w:szCs w:val="22"/>
        </w:rPr>
        <w:t>virale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46F25">
        <w:rPr>
          <w:rFonts w:cstheme="minorHAnsi"/>
          <w:bCs/>
          <w:sz w:val="22"/>
          <w:szCs w:val="22"/>
        </w:rPr>
        <w:t>est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46F25">
        <w:rPr>
          <w:rFonts w:cstheme="minorHAnsi"/>
          <w:bCs/>
          <w:sz w:val="22"/>
          <w:szCs w:val="22"/>
        </w:rPr>
        <w:t>définie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46F25">
        <w:rPr>
          <w:rFonts w:cstheme="minorHAnsi"/>
          <w:bCs/>
          <w:sz w:val="22"/>
          <w:szCs w:val="22"/>
        </w:rPr>
        <w:t>comme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un ARN du VIH-1 &lt; 1 000 copies. Le test doit </w:t>
      </w:r>
      <w:proofErr w:type="spellStart"/>
      <w:r w:rsidRPr="00D46F25">
        <w:rPr>
          <w:rFonts w:cstheme="minorHAnsi"/>
          <w:bCs/>
          <w:sz w:val="22"/>
          <w:szCs w:val="22"/>
        </w:rPr>
        <w:t>avoir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46F25">
        <w:rPr>
          <w:rFonts w:cstheme="minorHAnsi"/>
          <w:bCs/>
          <w:sz w:val="22"/>
          <w:szCs w:val="22"/>
        </w:rPr>
        <w:t>été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46F25">
        <w:rPr>
          <w:rFonts w:cstheme="minorHAnsi"/>
          <w:bCs/>
          <w:sz w:val="22"/>
          <w:szCs w:val="22"/>
        </w:rPr>
        <w:t>effectué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il y a </w:t>
      </w:r>
      <w:proofErr w:type="spellStart"/>
      <w:r w:rsidRPr="00D46F25">
        <w:rPr>
          <w:rFonts w:cstheme="minorHAnsi"/>
          <w:bCs/>
          <w:sz w:val="22"/>
          <w:szCs w:val="22"/>
        </w:rPr>
        <w:t>moins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de 12 </w:t>
      </w:r>
      <w:proofErr w:type="spellStart"/>
      <w:r w:rsidRPr="00D46F25">
        <w:rPr>
          <w:rFonts w:cstheme="minorHAnsi"/>
          <w:bCs/>
          <w:sz w:val="22"/>
          <w:szCs w:val="22"/>
        </w:rPr>
        <w:t>mois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, </w:t>
      </w:r>
      <w:proofErr w:type="spellStart"/>
      <w:r w:rsidRPr="00D46F25">
        <w:rPr>
          <w:rFonts w:cstheme="minorHAnsi"/>
          <w:bCs/>
          <w:sz w:val="22"/>
          <w:szCs w:val="22"/>
        </w:rPr>
        <w:t>sinon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un nouveau test de charge </w:t>
      </w:r>
      <w:proofErr w:type="spellStart"/>
      <w:r w:rsidRPr="00D46F25">
        <w:rPr>
          <w:rFonts w:cstheme="minorHAnsi"/>
          <w:bCs/>
          <w:sz w:val="22"/>
          <w:szCs w:val="22"/>
        </w:rPr>
        <w:t>virale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46F25">
        <w:rPr>
          <w:rFonts w:cstheme="minorHAnsi"/>
          <w:bCs/>
          <w:sz w:val="22"/>
          <w:szCs w:val="22"/>
        </w:rPr>
        <w:t>est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46F25">
        <w:rPr>
          <w:rFonts w:cstheme="minorHAnsi"/>
          <w:bCs/>
          <w:sz w:val="22"/>
          <w:szCs w:val="22"/>
        </w:rPr>
        <w:t>recommandé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. </w:t>
      </w:r>
      <w:proofErr w:type="spellStart"/>
      <w:r w:rsidRPr="00D46F25">
        <w:rPr>
          <w:rFonts w:cstheme="minorHAnsi"/>
          <w:bCs/>
          <w:sz w:val="22"/>
          <w:szCs w:val="22"/>
        </w:rPr>
        <w:t>Alors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que le test de charge </w:t>
      </w:r>
      <w:proofErr w:type="spellStart"/>
      <w:r w:rsidRPr="00D46F25">
        <w:rPr>
          <w:rFonts w:cstheme="minorHAnsi"/>
          <w:bCs/>
          <w:sz w:val="22"/>
          <w:szCs w:val="22"/>
        </w:rPr>
        <w:t>virale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de routine </w:t>
      </w:r>
      <w:proofErr w:type="spellStart"/>
      <w:r w:rsidRPr="00D46F25">
        <w:rPr>
          <w:rFonts w:cstheme="minorHAnsi"/>
          <w:bCs/>
          <w:sz w:val="22"/>
          <w:szCs w:val="22"/>
        </w:rPr>
        <w:t>avant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le </w:t>
      </w:r>
      <w:proofErr w:type="spellStart"/>
      <w:r w:rsidRPr="00D46F25">
        <w:rPr>
          <w:rFonts w:cstheme="minorHAnsi"/>
          <w:bCs/>
          <w:sz w:val="22"/>
          <w:szCs w:val="22"/>
        </w:rPr>
        <w:t>changement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de </w:t>
      </w:r>
      <w:proofErr w:type="spellStart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>traitement</w:t>
      </w:r>
      <w:proofErr w:type="spellEnd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D46F25">
        <w:rPr>
          <w:rFonts w:cstheme="minorHAnsi"/>
          <w:bCs/>
          <w:sz w:val="22"/>
          <w:szCs w:val="22"/>
        </w:rPr>
        <w:t>permettrait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D46F25">
        <w:rPr>
          <w:rFonts w:cstheme="minorHAnsi"/>
          <w:bCs/>
          <w:sz w:val="22"/>
          <w:szCs w:val="22"/>
        </w:rPr>
        <w:t>s'assurer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46F25">
        <w:rPr>
          <w:rFonts w:cstheme="minorHAnsi"/>
          <w:bCs/>
          <w:sz w:val="22"/>
          <w:szCs w:val="22"/>
        </w:rPr>
        <w:t>qu'un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enfant </w:t>
      </w:r>
      <w:proofErr w:type="spellStart"/>
      <w:r w:rsidRPr="00D46F25">
        <w:rPr>
          <w:rFonts w:cstheme="minorHAnsi"/>
          <w:bCs/>
          <w:sz w:val="22"/>
          <w:szCs w:val="22"/>
        </w:rPr>
        <w:t>n'échoue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pas à son </w:t>
      </w:r>
      <w:proofErr w:type="spellStart"/>
      <w:r w:rsidRPr="00D46F25">
        <w:rPr>
          <w:rFonts w:cstheme="minorHAnsi"/>
          <w:bCs/>
          <w:sz w:val="22"/>
          <w:szCs w:val="22"/>
        </w:rPr>
        <w:t>traitement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46F25">
        <w:rPr>
          <w:rFonts w:cstheme="minorHAnsi"/>
          <w:bCs/>
          <w:sz w:val="22"/>
          <w:szCs w:val="22"/>
        </w:rPr>
        <w:t>actuel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, </w:t>
      </w:r>
      <w:proofErr w:type="spellStart"/>
      <w:r w:rsidRPr="00D46F25">
        <w:rPr>
          <w:rFonts w:cstheme="minorHAnsi"/>
          <w:bCs/>
          <w:sz w:val="22"/>
          <w:szCs w:val="22"/>
        </w:rPr>
        <w:t>l'OMS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46F25" w:rsidR="002E7A75">
        <w:rPr>
          <w:rFonts w:cstheme="minorHAnsi"/>
          <w:bCs/>
          <w:sz w:val="22"/>
          <w:szCs w:val="22"/>
        </w:rPr>
        <w:t>déclare</w:t>
      </w:r>
      <w:proofErr w:type="spellEnd"/>
      <w:r w:rsidRPr="00D46F25" w:rsidR="002E7A75">
        <w:rPr>
          <w:rFonts w:cstheme="minorHAnsi"/>
          <w:bCs/>
          <w:sz w:val="22"/>
          <w:szCs w:val="22"/>
        </w:rPr>
        <w:t xml:space="preserve"> que </w:t>
      </w:r>
      <w:r w:rsidRPr="00D46F25">
        <w:rPr>
          <w:rFonts w:cstheme="minorHAnsi"/>
          <w:bCs/>
          <w:sz w:val="22"/>
          <w:szCs w:val="22"/>
        </w:rPr>
        <w:t xml:space="preserve">"le test de charge </w:t>
      </w:r>
      <w:proofErr w:type="spellStart"/>
      <w:r w:rsidRPr="00D46F25">
        <w:rPr>
          <w:rFonts w:cstheme="minorHAnsi"/>
          <w:bCs/>
          <w:sz w:val="22"/>
          <w:szCs w:val="22"/>
        </w:rPr>
        <w:t>virale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46F25">
        <w:rPr>
          <w:rFonts w:cstheme="minorHAnsi"/>
          <w:bCs/>
          <w:sz w:val="22"/>
          <w:szCs w:val="22"/>
        </w:rPr>
        <w:t>n'est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pas </w:t>
      </w:r>
      <w:proofErr w:type="spellStart"/>
      <w:r w:rsidRPr="00D46F25">
        <w:rPr>
          <w:rFonts w:cstheme="minorHAnsi"/>
          <w:bCs/>
          <w:sz w:val="22"/>
          <w:szCs w:val="22"/>
        </w:rPr>
        <w:t>une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exigence pour le passage à </w:t>
      </w:r>
      <w:proofErr w:type="spellStart"/>
      <w:r w:rsidRPr="00D46F25">
        <w:rPr>
          <w:rFonts w:cstheme="minorHAnsi"/>
          <w:bCs/>
          <w:sz w:val="22"/>
          <w:szCs w:val="22"/>
        </w:rPr>
        <w:t>une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formulation </w:t>
      </w:r>
      <w:proofErr w:type="spellStart"/>
      <w:r w:rsidRPr="00D46F25">
        <w:rPr>
          <w:rFonts w:cstheme="minorHAnsi"/>
          <w:bCs/>
          <w:sz w:val="22"/>
          <w:szCs w:val="22"/>
        </w:rPr>
        <w:t>optimale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" et ne </w:t>
      </w:r>
      <w:proofErr w:type="spellStart"/>
      <w:r w:rsidRPr="00D46F25">
        <w:rPr>
          <w:rFonts w:cstheme="minorHAnsi"/>
          <w:bCs/>
          <w:sz w:val="22"/>
          <w:szCs w:val="22"/>
        </w:rPr>
        <w:t>devrait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pas </w:t>
      </w:r>
      <w:proofErr w:type="spellStart"/>
      <w:r w:rsidRPr="00D46F25">
        <w:rPr>
          <w:rFonts w:cstheme="minorHAnsi"/>
          <w:bCs/>
          <w:sz w:val="22"/>
          <w:szCs w:val="22"/>
        </w:rPr>
        <w:t>être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un obstacle à </w:t>
      </w:r>
      <w:proofErr w:type="spellStart"/>
      <w:r w:rsidRPr="00D46F25">
        <w:rPr>
          <w:rFonts w:cstheme="minorHAnsi"/>
          <w:bCs/>
          <w:sz w:val="22"/>
          <w:szCs w:val="22"/>
        </w:rPr>
        <w:t>l'accès</w:t>
      </w:r>
      <w:proofErr w:type="spellEnd"/>
      <w:r w:rsidRPr="00D46F25">
        <w:rPr>
          <w:rFonts w:cstheme="minorHAnsi"/>
          <w:bCs/>
          <w:sz w:val="22"/>
          <w:szCs w:val="22"/>
        </w:rPr>
        <w:t xml:space="preserve"> au pDTG </w:t>
      </w:r>
      <w:r w:rsidR="00334907">
        <w:rPr>
          <w:rFonts w:cstheme="minorHAnsi"/>
          <w:bCs/>
          <w:sz w:val="22"/>
          <w:szCs w:val="22"/>
        </w:rPr>
        <w:t xml:space="preserve">; </w:t>
      </w:r>
      <w:proofErr w:type="spellStart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>mentionnez</w:t>
      </w:r>
      <w:proofErr w:type="spellEnd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>catégoriquement</w:t>
      </w:r>
      <w:proofErr w:type="spellEnd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>s'il</w:t>
      </w:r>
      <w:proofErr w:type="spellEnd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>existe</w:t>
      </w:r>
      <w:proofErr w:type="spellEnd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>une</w:t>
      </w:r>
      <w:proofErr w:type="spellEnd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>stratégie</w:t>
      </w:r>
      <w:proofErr w:type="spellEnd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>distincte</w:t>
      </w:r>
      <w:proofErr w:type="spellEnd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 xml:space="preserve"> pour les patients stables et </w:t>
      </w:r>
      <w:proofErr w:type="spellStart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>ceux</w:t>
      </w:r>
      <w:proofErr w:type="spellEnd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 xml:space="preserve"> qui </w:t>
      </w:r>
      <w:proofErr w:type="spellStart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>échouent</w:t>
      </w:r>
      <w:proofErr w:type="spellEnd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 xml:space="preserve"> au </w:t>
      </w:r>
      <w:proofErr w:type="spellStart"/>
      <w:r w:rsidR="00334907">
        <w:rPr>
          <w:rFonts w:cstheme="minorHAnsi"/>
          <w:bCs/>
          <w:i/>
          <w:iCs/>
          <w:sz w:val="22"/>
          <w:szCs w:val="22"/>
          <w:highlight w:val="yellow"/>
        </w:rPr>
        <w:t>traitement</w:t>
      </w:r>
      <w:proofErr w:type="spellEnd"/>
      <w:r w:rsidR="002E7A75">
        <w:rPr>
          <w:rFonts w:cstheme="minorHAnsi"/>
          <w:bCs/>
          <w:sz w:val="22"/>
          <w:szCs w:val="22"/>
        </w:rPr>
        <w:t>]</w:t>
      </w:r>
    </w:p>
    <w:p w:rsidRPr="00962853" w:rsidR="00962853" w:rsidP="00370DC1" w:rsidRDefault="00962853" w14:paraId="6CF4BFF1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Pr="00962853" w:rsidR="000E624C" w:rsidP="00370DC1" w:rsidRDefault="00090555" w14:paraId="5F303FFA" w14:textId="70730CC2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  <w:r>
        <w:rPr>
          <w:rFonts w:cstheme="minorHAnsi"/>
          <w:bCs/>
          <w:i/>
          <w:iCs/>
          <w:sz w:val="22"/>
          <w:szCs w:val="22"/>
          <w:highlight w:val="yellow"/>
        </w:rPr>
        <w:t xml:space="preserve">À </w:t>
      </w:r>
      <w:proofErr w:type="spellStart"/>
      <w:r w:rsidRPr="00962853" w:rsidR="000E624C">
        <w:rPr>
          <w:rFonts w:cstheme="minorHAnsi"/>
          <w:bCs/>
          <w:sz w:val="22"/>
          <w:szCs w:val="22"/>
        </w:rPr>
        <w:t>partir</w:t>
      </w:r>
      <w:proofErr w:type="spellEnd"/>
      <w:r w:rsidRPr="00962853" w:rsidR="000E624C">
        <w:rPr>
          <w:rFonts w:cstheme="minorHAnsi"/>
          <w:bCs/>
          <w:sz w:val="22"/>
          <w:szCs w:val="22"/>
        </w:rPr>
        <w:t xml:space="preserve"> de </w:t>
      </w:r>
      <w:r w:rsidRPr="004C1901" w:rsidR="004C1901">
        <w:rPr>
          <w:rFonts w:cstheme="minorHAnsi"/>
          <w:bCs/>
          <w:i/>
          <w:iCs/>
          <w:sz w:val="22"/>
          <w:szCs w:val="22"/>
          <w:highlight w:val="yellow"/>
        </w:rPr>
        <w:t>[</w:t>
      </w:r>
      <w:proofErr w:type="spellStart"/>
      <w:r w:rsidRPr="004C1901" w:rsidR="004C1901">
        <w:rPr>
          <w:rFonts w:cstheme="minorHAnsi"/>
          <w:bCs/>
          <w:i/>
          <w:iCs/>
          <w:sz w:val="22"/>
          <w:szCs w:val="22"/>
          <w:highlight w:val="yellow"/>
        </w:rPr>
        <w:t>insérer</w:t>
      </w:r>
      <w:proofErr w:type="spellEnd"/>
      <w:r w:rsidRPr="004C1901" w:rsidR="004C1901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4C1901" w:rsidR="004C1901">
        <w:rPr>
          <w:rFonts w:cstheme="minorHAnsi"/>
          <w:bCs/>
          <w:i/>
          <w:iCs/>
          <w:sz w:val="22"/>
          <w:szCs w:val="22"/>
          <w:highlight w:val="yellow"/>
        </w:rPr>
        <w:t>ici</w:t>
      </w:r>
      <w:proofErr w:type="spellEnd"/>
      <w:r w:rsidRPr="004C1901" w:rsidR="004C1901">
        <w:rPr>
          <w:rFonts w:cstheme="minorHAnsi"/>
          <w:bCs/>
          <w:i/>
          <w:iCs/>
          <w:sz w:val="22"/>
          <w:szCs w:val="22"/>
          <w:highlight w:val="yellow"/>
        </w:rPr>
        <w:t xml:space="preserve"> le </w:t>
      </w:r>
      <w:proofErr w:type="spellStart"/>
      <w:r w:rsidRPr="004C1901" w:rsidR="004C1901">
        <w:rPr>
          <w:rFonts w:cstheme="minorHAnsi"/>
          <w:bCs/>
          <w:i/>
          <w:iCs/>
          <w:sz w:val="22"/>
          <w:szCs w:val="22"/>
          <w:highlight w:val="yellow"/>
        </w:rPr>
        <w:t>mois</w:t>
      </w:r>
      <w:proofErr w:type="spellEnd"/>
      <w:r w:rsidRPr="004C1901" w:rsidR="004C1901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r w:rsidR="000F256B">
        <w:rPr>
          <w:rFonts w:cstheme="minorHAnsi"/>
          <w:bCs/>
          <w:i/>
          <w:iCs/>
          <w:sz w:val="22"/>
          <w:szCs w:val="22"/>
          <w:highlight w:val="yellow"/>
        </w:rPr>
        <w:t xml:space="preserve">et </w:t>
      </w:r>
      <w:proofErr w:type="spellStart"/>
      <w:r w:rsidR="000F256B">
        <w:rPr>
          <w:rFonts w:cstheme="minorHAnsi"/>
          <w:bCs/>
          <w:i/>
          <w:iCs/>
          <w:sz w:val="22"/>
          <w:szCs w:val="22"/>
          <w:highlight w:val="yellow"/>
        </w:rPr>
        <w:t>l'année</w:t>
      </w:r>
      <w:proofErr w:type="spellEnd"/>
      <w:r w:rsidR="000F256B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="000F256B">
        <w:rPr>
          <w:rFonts w:cstheme="minorHAnsi"/>
          <w:bCs/>
          <w:i/>
          <w:iCs/>
          <w:sz w:val="22"/>
          <w:szCs w:val="22"/>
          <w:highlight w:val="yellow"/>
        </w:rPr>
        <w:t>concernés</w:t>
      </w:r>
      <w:proofErr w:type="spellEnd"/>
      <w:r w:rsidRPr="004C1901" w:rsidR="004C1901">
        <w:rPr>
          <w:rFonts w:cstheme="minorHAnsi"/>
          <w:bCs/>
          <w:i/>
          <w:iCs/>
          <w:sz w:val="22"/>
          <w:szCs w:val="22"/>
          <w:highlight w:val="yellow"/>
        </w:rPr>
        <w:t>]</w:t>
      </w:r>
      <w:r w:rsidR="003D0A76">
        <w:rPr>
          <w:rFonts w:cstheme="minorHAnsi"/>
          <w:bCs/>
          <w:sz w:val="22"/>
          <w:szCs w:val="22"/>
        </w:rPr>
        <w:t xml:space="preserve">, les </w:t>
      </w:r>
      <w:r>
        <w:rPr>
          <w:rFonts w:cstheme="minorHAnsi"/>
          <w:bCs/>
          <w:i/>
          <w:iCs/>
          <w:sz w:val="22"/>
          <w:szCs w:val="22"/>
          <w:highlight w:val="yellow"/>
        </w:rPr>
        <w:t xml:space="preserve">patients </w:t>
      </w:r>
      <w:proofErr w:type="spellStart"/>
      <w:r w:rsidRPr="00962853" w:rsidR="000E624C">
        <w:rPr>
          <w:rFonts w:cstheme="minorHAnsi"/>
          <w:bCs/>
          <w:sz w:val="22"/>
          <w:szCs w:val="22"/>
        </w:rPr>
        <w:t>admissibles</w:t>
      </w:r>
      <w:proofErr w:type="spellEnd"/>
      <w:r w:rsidRPr="00962853" w:rsidR="000E624C">
        <w:rPr>
          <w:rFonts w:cstheme="minorHAnsi"/>
          <w:bCs/>
          <w:sz w:val="22"/>
          <w:szCs w:val="22"/>
        </w:rPr>
        <w:t xml:space="preserve"> </w:t>
      </w:r>
      <w:r w:rsidR="003D0A76">
        <w:rPr>
          <w:rFonts w:cstheme="minorHAnsi"/>
          <w:bCs/>
          <w:sz w:val="22"/>
          <w:szCs w:val="22"/>
        </w:rPr>
        <w:t xml:space="preserve">qui </w:t>
      </w:r>
      <w:proofErr w:type="spellStart"/>
      <w:r w:rsidR="003D0A76">
        <w:rPr>
          <w:rFonts w:cstheme="minorHAnsi"/>
          <w:bCs/>
          <w:sz w:val="22"/>
          <w:szCs w:val="22"/>
        </w:rPr>
        <w:t>suivent</w:t>
      </w:r>
      <w:proofErr w:type="spellEnd"/>
      <w:r w:rsidR="003D0A76">
        <w:rPr>
          <w:rFonts w:cstheme="minorHAnsi"/>
          <w:bCs/>
          <w:sz w:val="22"/>
          <w:szCs w:val="22"/>
        </w:rPr>
        <w:t xml:space="preserve"> un </w:t>
      </w:r>
      <w:proofErr w:type="spellStart"/>
      <w:r w:rsidRPr="00962853" w:rsidR="000E624C">
        <w:rPr>
          <w:rFonts w:cstheme="minorHAnsi"/>
          <w:bCs/>
          <w:sz w:val="22"/>
          <w:szCs w:val="22"/>
        </w:rPr>
        <w:t>traitement</w:t>
      </w:r>
      <w:proofErr w:type="spellEnd"/>
      <w:r w:rsidRPr="00962853" w:rsidR="000E624C">
        <w:rPr>
          <w:rFonts w:cstheme="minorHAnsi"/>
          <w:bCs/>
          <w:sz w:val="22"/>
          <w:szCs w:val="22"/>
        </w:rPr>
        <w:t xml:space="preserve"> non optimal </w:t>
      </w:r>
      <w:r w:rsidRPr="004C1901">
        <w:rPr>
          <w:rFonts w:cstheme="minorHAnsi"/>
          <w:bCs/>
          <w:i/>
          <w:iCs/>
          <w:sz w:val="22"/>
          <w:szCs w:val="22"/>
          <w:highlight w:val="yellow"/>
        </w:rPr>
        <w:t>[</w:t>
      </w:r>
      <w:proofErr w:type="spellStart"/>
      <w:r w:rsidRPr="004C1901">
        <w:rPr>
          <w:rFonts w:cstheme="minorHAnsi"/>
          <w:bCs/>
          <w:i/>
          <w:iCs/>
          <w:sz w:val="22"/>
          <w:szCs w:val="22"/>
          <w:highlight w:val="yellow"/>
        </w:rPr>
        <w:t>insérer</w:t>
      </w:r>
      <w:proofErr w:type="spellEnd"/>
      <w:r w:rsidRPr="004C1901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="008944BD">
        <w:rPr>
          <w:rFonts w:cstheme="minorHAnsi"/>
          <w:bCs/>
          <w:i/>
          <w:iCs/>
          <w:sz w:val="22"/>
          <w:szCs w:val="22"/>
          <w:highlight w:val="yellow"/>
        </w:rPr>
        <w:t>ici</w:t>
      </w:r>
      <w:proofErr w:type="spellEnd"/>
      <w:r w:rsidR="008944BD">
        <w:rPr>
          <w:rFonts w:cstheme="minorHAnsi"/>
          <w:bCs/>
          <w:i/>
          <w:iCs/>
          <w:sz w:val="22"/>
          <w:szCs w:val="22"/>
          <w:highlight w:val="yellow"/>
        </w:rPr>
        <w:t xml:space="preserve"> la </w:t>
      </w:r>
      <w:proofErr w:type="spellStart"/>
      <w:r>
        <w:rPr>
          <w:rFonts w:cstheme="minorHAnsi"/>
          <w:bCs/>
          <w:i/>
          <w:iCs/>
          <w:sz w:val="22"/>
          <w:szCs w:val="22"/>
          <w:highlight w:val="yellow"/>
        </w:rPr>
        <w:t>catégorie</w:t>
      </w:r>
      <w:proofErr w:type="spellEnd"/>
      <w:r>
        <w:rPr>
          <w:rFonts w:cstheme="minorHAnsi"/>
          <w:bCs/>
          <w:i/>
          <w:iCs/>
          <w:sz w:val="22"/>
          <w:szCs w:val="22"/>
          <w:highlight w:val="yellow"/>
        </w:rPr>
        <w:t xml:space="preserve"> de patients </w:t>
      </w:r>
      <w:proofErr w:type="spellStart"/>
      <w:r>
        <w:rPr>
          <w:rFonts w:cstheme="minorHAnsi"/>
          <w:bCs/>
          <w:i/>
          <w:iCs/>
          <w:sz w:val="22"/>
          <w:szCs w:val="22"/>
          <w:highlight w:val="yellow"/>
        </w:rPr>
        <w:t>concernée</w:t>
      </w:r>
      <w:proofErr w:type="spellEnd"/>
      <w:r w:rsidRPr="004C1901">
        <w:rPr>
          <w:rFonts w:cstheme="minorHAnsi"/>
          <w:bCs/>
          <w:i/>
          <w:iCs/>
          <w:sz w:val="22"/>
          <w:szCs w:val="22"/>
          <w:highlight w:val="yellow"/>
        </w:rPr>
        <w:t xml:space="preserve">] </w:t>
      </w:r>
      <w:proofErr w:type="spellStart"/>
      <w:r w:rsidRPr="00962853" w:rsidR="000E624C">
        <w:rPr>
          <w:rFonts w:cstheme="minorHAnsi"/>
          <w:bCs/>
          <w:sz w:val="22"/>
          <w:szCs w:val="22"/>
        </w:rPr>
        <w:t>commenceront</w:t>
      </w:r>
      <w:proofErr w:type="spellEnd"/>
      <w:r w:rsidRPr="00962853" w:rsidR="000E624C">
        <w:rPr>
          <w:rFonts w:cstheme="minorHAnsi"/>
          <w:bCs/>
          <w:sz w:val="22"/>
          <w:szCs w:val="22"/>
        </w:rPr>
        <w:t xml:space="preserve"> à </w:t>
      </w:r>
      <w:proofErr w:type="spellStart"/>
      <w:r w:rsidRPr="00962853" w:rsidR="000E624C">
        <w:rPr>
          <w:rFonts w:cstheme="minorHAnsi"/>
          <w:bCs/>
          <w:sz w:val="22"/>
          <w:szCs w:val="22"/>
        </w:rPr>
        <w:t>bénéficier</w:t>
      </w:r>
      <w:proofErr w:type="spellEnd"/>
      <w:r w:rsidRPr="00962853" w:rsidR="000E624C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 w:rsidR="000E624C">
        <w:rPr>
          <w:rFonts w:cstheme="minorHAnsi"/>
          <w:bCs/>
          <w:sz w:val="22"/>
          <w:szCs w:val="22"/>
        </w:rPr>
        <w:t>d'une</w:t>
      </w:r>
      <w:proofErr w:type="spellEnd"/>
      <w:r w:rsidRPr="00962853" w:rsidR="000E624C">
        <w:rPr>
          <w:rFonts w:cstheme="minorHAnsi"/>
          <w:bCs/>
          <w:sz w:val="22"/>
          <w:szCs w:val="22"/>
        </w:rPr>
        <w:t xml:space="preserve"> </w:t>
      </w:r>
      <w:r w:rsidRPr="00962853" w:rsidR="00980F9E">
        <w:rPr>
          <w:rFonts w:cstheme="minorHAnsi"/>
          <w:bCs/>
          <w:sz w:val="22"/>
          <w:szCs w:val="22"/>
        </w:rPr>
        <w:t xml:space="preserve">substitution </w:t>
      </w:r>
      <w:r w:rsidRPr="00962853" w:rsidR="000E624C">
        <w:rPr>
          <w:rFonts w:cstheme="minorHAnsi"/>
          <w:bCs/>
          <w:sz w:val="22"/>
          <w:szCs w:val="22"/>
        </w:rPr>
        <w:t xml:space="preserve">progressive par un </w:t>
      </w:r>
      <w:proofErr w:type="spellStart"/>
      <w:r w:rsidRPr="00962853" w:rsidR="000E624C">
        <w:rPr>
          <w:rFonts w:cstheme="minorHAnsi"/>
          <w:bCs/>
          <w:sz w:val="22"/>
          <w:szCs w:val="22"/>
        </w:rPr>
        <w:t>traitement</w:t>
      </w:r>
      <w:proofErr w:type="spellEnd"/>
      <w:r w:rsidRPr="00962853" w:rsidR="000E624C">
        <w:rPr>
          <w:rFonts w:cstheme="minorHAnsi"/>
          <w:bCs/>
          <w:sz w:val="22"/>
          <w:szCs w:val="22"/>
        </w:rPr>
        <w:t xml:space="preserve"> à </w:t>
      </w:r>
      <w:r w:rsidR="003D0A76">
        <w:rPr>
          <w:rFonts w:cstheme="minorHAnsi"/>
          <w:bCs/>
          <w:sz w:val="22"/>
          <w:szCs w:val="22"/>
        </w:rPr>
        <w:t xml:space="preserve">base de pDTG. </w:t>
      </w:r>
      <w:r w:rsidRPr="00962853" w:rsidR="000E624C">
        <w:rPr>
          <w:rFonts w:cstheme="minorHAnsi"/>
          <w:bCs/>
          <w:sz w:val="22"/>
          <w:szCs w:val="22"/>
        </w:rPr>
        <w:t>Un</w:t>
      </w:r>
      <w:commentRangeStart w:id="5"/>
      <w:r w:rsidRPr="00962853" w:rsidR="000E624C">
        <w:rPr>
          <w:rFonts w:cstheme="minorHAnsi"/>
          <w:bCs/>
          <w:sz w:val="22"/>
          <w:szCs w:val="22"/>
        </w:rPr>
        <w:t xml:space="preserve"> résumé</w:t>
      </w:r>
      <w:commentRangeEnd w:id="5"/>
      <w:r w:rsidR="00B017F8">
        <w:rPr>
          <w:rStyle w:val="CommentReference"/>
        </w:rPr>
        <w:commentReference w:id="5"/>
      </w:r>
      <w:r w:rsidRPr="00962853" w:rsidR="000E624C">
        <w:rPr>
          <w:rFonts w:cstheme="minorHAnsi"/>
          <w:bCs/>
          <w:sz w:val="22"/>
          <w:szCs w:val="22"/>
        </w:rPr>
        <w:t xml:space="preserve"> du régime de </w:t>
      </w:r>
      <w:r w:rsidRPr="00962853" w:rsidR="00980F9E">
        <w:rPr>
          <w:rFonts w:cstheme="minorHAnsi"/>
          <w:bCs/>
          <w:sz w:val="22"/>
          <w:szCs w:val="22"/>
        </w:rPr>
        <w:t xml:space="preserve">substitution </w:t>
      </w:r>
      <w:proofErr w:type="spellStart"/>
      <w:r w:rsidRPr="00962853" w:rsidR="000E624C">
        <w:rPr>
          <w:rFonts w:cstheme="minorHAnsi"/>
          <w:bCs/>
          <w:sz w:val="22"/>
          <w:szCs w:val="22"/>
        </w:rPr>
        <w:t>proposé</w:t>
      </w:r>
      <w:proofErr w:type="spellEnd"/>
      <w:r w:rsidRPr="00962853" w:rsidR="000E624C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 w:rsidR="000E624C">
        <w:rPr>
          <w:rFonts w:cstheme="minorHAnsi"/>
          <w:bCs/>
          <w:sz w:val="22"/>
          <w:szCs w:val="22"/>
        </w:rPr>
        <w:t>est</w:t>
      </w:r>
      <w:proofErr w:type="spellEnd"/>
      <w:r w:rsidRPr="00962853" w:rsidR="000E624C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 w:rsidR="000E624C">
        <w:rPr>
          <w:rFonts w:cstheme="minorHAnsi"/>
          <w:bCs/>
          <w:sz w:val="22"/>
          <w:szCs w:val="22"/>
        </w:rPr>
        <w:t>présenté</w:t>
      </w:r>
      <w:proofErr w:type="spellEnd"/>
      <w:r w:rsidRPr="00962853" w:rsidR="000E624C">
        <w:rPr>
          <w:rFonts w:cstheme="minorHAnsi"/>
          <w:bCs/>
          <w:sz w:val="22"/>
          <w:szCs w:val="22"/>
        </w:rPr>
        <w:t xml:space="preserve"> dans le tableau </w:t>
      </w:r>
      <w:r w:rsidR="008E048A">
        <w:rPr>
          <w:rFonts w:cstheme="minorHAnsi"/>
          <w:bCs/>
          <w:sz w:val="22"/>
          <w:szCs w:val="22"/>
        </w:rPr>
        <w:t xml:space="preserve">6 </w:t>
      </w:r>
      <w:r w:rsidRPr="00962853" w:rsidR="000E624C">
        <w:rPr>
          <w:rFonts w:cstheme="minorHAnsi"/>
          <w:bCs/>
          <w:sz w:val="22"/>
          <w:szCs w:val="22"/>
        </w:rPr>
        <w:t>ci-dessous.</w:t>
      </w:r>
    </w:p>
    <w:p w:rsidRPr="00962853" w:rsidR="0035446F" w:rsidP="00370DC1" w:rsidRDefault="0035446F" w14:paraId="59134D95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tbl>
      <w:tblPr>
        <w:tblW w:w="82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424"/>
        <w:gridCol w:w="2296"/>
        <w:gridCol w:w="2511"/>
      </w:tblGrid>
      <w:tr w:rsidRPr="001254D5" w:rsidR="00503937" w:rsidTr="008E048A" w14:paraId="63C3458C" w14:textId="77777777">
        <w:trPr>
          <w:trHeight w:val="302"/>
          <w:jc w:val="center"/>
        </w:trPr>
        <w:tc>
          <w:tcPr>
            <w:tcW w:w="8231" w:type="dxa"/>
            <w:gridSpan w:val="3"/>
            <w:shd w:val="clear" w:color="auto" w:fill="1F497D" w:themeFill="text2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="00503937" w:rsidP="00DB0313" w:rsidRDefault="00503937" w14:paraId="26AA0660" w14:textId="52FFD8A3">
            <w:pPr>
              <w:spacing w:after="0"/>
              <w:contextualSpacing/>
              <w:jc w:val="center"/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</w:pPr>
            <w:r w:rsidRPr="008E048A"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kern w:val="24"/>
                <w:sz w:val="20"/>
                <w:szCs w:val="20"/>
              </w:rPr>
              <w:t xml:space="preserve">Tableau 6 : Proposition de régime optimal de substitution pour le CLHIV (4 </w:t>
            </w:r>
            <w:proofErr w:type="spellStart"/>
            <w:r w:rsidRPr="008E048A"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kern w:val="24"/>
                <w:sz w:val="20"/>
                <w:szCs w:val="20"/>
              </w:rPr>
              <w:t>semaines</w:t>
            </w:r>
            <w:proofErr w:type="spellEnd"/>
            <w:r w:rsidRPr="008E048A"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8E048A"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kern w:val="24"/>
                <w:sz w:val="20"/>
                <w:szCs w:val="20"/>
              </w:rPr>
              <w:t>d'âge</w:t>
            </w:r>
            <w:proofErr w:type="spellEnd"/>
            <w:r w:rsidRPr="008E048A"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kern w:val="24"/>
                <w:sz w:val="20"/>
                <w:szCs w:val="20"/>
              </w:rPr>
              <w:t xml:space="preserve"> et </w:t>
            </w:r>
            <w:proofErr w:type="spellStart"/>
            <w:r w:rsidRPr="008E048A"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kern w:val="24"/>
                <w:sz w:val="20"/>
                <w:szCs w:val="20"/>
              </w:rPr>
              <w:t>poids</w:t>
            </w:r>
            <w:proofErr w:type="spellEnd"/>
            <w:r w:rsidRPr="008E048A"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8E048A"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kern w:val="24"/>
                <w:sz w:val="20"/>
                <w:szCs w:val="20"/>
              </w:rPr>
              <w:t>inférieur</w:t>
            </w:r>
            <w:proofErr w:type="spellEnd"/>
            <w:r w:rsidRPr="008E048A"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kern w:val="24"/>
                <w:sz w:val="20"/>
                <w:szCs w:val="20"/>
              </w:rPr>
              <w:t xml:space="preserve"> à 20 kg)</w:t>
            </w:r>
          </w:p>
        </w:tc>
      </w:tr>
      <w:tr w:rsidRPr="001254D5" w:rsidR="00503937" w:rsidTr="000E56FF" w14:paraId="6BF99476" w14:textId="77777777">
        <w:trPr>
          <w:trHeight w:val="302"/>
          <w:jc w:val="center"/>
        </w:trPr>
        <w:tc>
          <w:tcPr>
            <w:tcW w:w="3424" w:type="dxa"/>
            <w:vMerge w:val="restart"/>
            <w:shd w:val="clear" w:color="auto" w:fill="C6D9F1" w:themeFill="text2" w:themeFillTint="33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P="008E048A" w:rsidRDefault="00C65D7E" w14:paraId="63538CE6" w14:textId="2FEB76D5">
            <w:pPr>
              <w:spacing w:after="0"/>
              <w:contextualSpacing/>
              <w:jc w:val="center"/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 xml:space="preserve">Régime </w:t>
            </w:r>
            <w:proofErr w:type="spellStart"/>
            <w:r w:rsidRPr="001254D5" w:rsidR="00503937"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>actuel</w:t>
            </w:r>
            <w:proofErr w:type="spellEnd"/>
            <w:r w:rsidRPr="001254D5" w:rsidR="00503937"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2296" w:type="dxa"/>
            <w:shd w:val="clear" w:color="auto" w:fill="C2D69B" w:themeFill="accent3" w:themeFillTint="99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P="008E048A" w:rsidRDefault="00503937" w14:paraId="175140F4" w14:textId="0A966B4E">
            <w:pPr>
              <w:spacing w:after="0"/>
              <w:contextualSpacing/>
              <w:jc w:val="center"/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 xml:space="preserve">Suppression </w:t>
            </w:r>
            <w:proofErr w:type="spellStart"/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>virale</w:t>
            </w:r>
            <w:proofErr w:type="spellEnd"/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>confirmée</w:t>
            </w:r>
            <w:proofErr w:type="spellEnd"/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>*.</w:t>
            </w:r>
          </w:p>
        </w:tc>
        <w:tc>
          <w:tcPr>
            <w:tcW w:w="2511" w:type="dxa"/>
            <w:shd w:val="clear" w:color="auto" w:fill="FBD4B4" w:themeFill="accent6" w:themeFillTint="66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P="008E048A" w:rsidRDefault="00503937" w14:paraId="23358B9C" w14:textId="60A3E509">
            <w:pPr>
              <w:spacing w:after="0"/>
              <w:contextualSpacing/>
              <w:jc w:val="center"/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>Échec</w:t>
            </w:r>
            <w:proofErr w:type="spellEnd"/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>confirmé</w:t>
            </w:r>
            <w:proofErr w:type="spellEnd"/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 xml:space="preserve"> du </w:t>
            </w:r>
            <w:proofErr w:type="spellStart"/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>traitement</w:t>
            </w:r>
            <w:proofErr w:type="spellEnd"/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>**</w:t>
            </w:r>
          </w:p>
        </w:tc>
      </w:tr>
      <w:tr w:rsidRPr="001254D5" w:rsidR="00C65D7E" w:rsidTr="000E56FF" w14:paraId="01046FC3" w14:textId="77777777">
        <w:trPr>
          <w:trHeight w:val="302"/>
          <w:jc w:val="center"/>
        </w:trPr>
        <w:tc>
          <w:tcPr>
            <w:tcW w:w="3424" w:type="dxa"/>
            <w:vMerge/>
            <w:shd w:val="clear" w:color="auto" w:fill="C6D9F1" w:themeFill="text2" w:themeFillTint="33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  <w:hideMark/>
          </w:tcPr>
          <w:p w:rsidRPr="001254D5" w:rsidR="00503937" w:rsidP="00370DC1" w:rsidRDefault="00503937" w14:paraId="0958AC10" w14:textId="24A88929">
            <w:pPr>
              <w:spacing w:after="0"/>
              <w:contextualSpacing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296" w:type="dxa"/>
            <w:shd w:val="clear" w:color="auto" w:fill="D9D9D9" w:themeFill="background1" w:themeFillShade="D9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  <w:hideMark/>
          </w:tcPr>
          <w:p w:rsidRPr="001254D5" w:rsidR="00503937" w:rsidP="008E048A" w:rsidRDefault="00503937" w14:paraId="29CD9058" w14:textId="773A962D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 xml:space="preserve">Régime </w:t>
            </w:r>
            <w:proofErr w:type="spellStart"/>
            <w:r w:rsidRPr="001254D5"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>recommandé</w:t>
            </w:r>
            <w:proofErr w:type="spellEnd"/>
          </w:p>
        </w:tc>
        <w:tc>
          <w:tcPr>
            <w:tcW w:w="2511" w:type="dxa"/>
            <w:shd w:val="clear" w:color="auto" w:fill="D9D9D9" w:themeFill="background1" w:themeFillShade="D9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  <w:hideMark/>
          </w:tcPr>
          <w:p w:rsidRPr="001254D5" w:rsidR="00503937" w:rsidP="008E048A" w:rsidRDefault="00503937" w14:paraId="4E275217" w14:textId="1DA04385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 xml:space="preserve">Régime </w:t>
            </w:r>
            <w:proofErr w:type="spellStart"/>
            <w:r>
              <w:rPr>
                <w:rFonts w:eastAsia="Times New Roman" w:cstheme="minorHAnsi"/>
                <w:b/>
                <w:bCs/>
                <w:i/>
                <w:iCs/>
                <w:kern w:val="24"/>
                <w:sz w:val="20"/>
                <w:szCs w:val="20"/>
              </w:rPr>
              <w:t>recommandé</w:t>
            </w:r>
            <w:proofErr w:type="spellEnd"/>
          </w:p>
        </w:tc>
      </w:tr>
      <w:tr w:rsidRPr="001254D5" w:rsidR="00503937" w:rsidTr="000E56FF" w14:paraId="74CFB12A" w14:textId="77777777">
        <w:trPr>
          <w:trHeight w:val="302"/>
          <w:jc w:val="center"/>
        </w:trPr>
        <w:tc>
          <w:tcPr>
            <w:tcW w:w="3424" w:type="dxa"/>
            <w:shd w:val="clear" w:color="auto" w:fill="D9D9D9" w:themeFill="background1" w:themeFillShade="D9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8E048A" w:rsidRDefault="00503937" w14:paraId="1AF8695E" w14:textId="284B12DE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r w:rsidRPr="008E048A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>ABC/3TC/LPV/r</w:t>
            </w:r>
          </w:p>
        </w:tc>
        <w:tc>
          <w:tcPr>
            <w:tcW w:w="2296" w:type="dxa"/>
            <w:vMerge w:val="restart"/>
            <w:shd w:val="clear" w:color="auto" w:fill="FFFFFF" w:themeFill="background1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8E048A" w:rsidRDefault="00503937" w14:paraId="46EF034E" w14:textId="508CB536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r w:rsidRPr="008E048A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>ABC/3TC/DTG</w:t>
            </w:r>
          </w:p>
        </w:tc>
        <w:tc>
          <w:tcPr>
            <w:tcW w:w="2511" w:type="dxa"/>
            <w:vMerge w:val="restart"/>
            <w:shd w:val="clear" w:color="auto" w:fill="FFFFFF" w:themeFill="background1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8E048A" w:rsidRDefault="00503937" w14:paraId="5A5E9E1A" w14:textId="0E8848C8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r w:rsidRPr="008E048A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>AZT/3TC/DTG</w:t>
            </w:r>
          </w:p>
        </w:tc>
      </w:tr>
      <w:tr w:rsidRPr="001254D5" w:rsidR="00503937" w:rsidTr="000E56FF" w14:paraId="0F57B498" w14:textId="77777777">
        <w:trPr>
          <w:trHeight w:val="302"/>
          <w:jc w:val="center"/>
        </w:trPr>
        <w:tc>
          <w:tcPr>
            <w:tcW w:w="3424" w:type="dxa"/>
            <w:shd w:val="clear" w:color="auto" w:fill="D9D9D9" w:themeFill="background1" w:themeFillShade="D9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8E048A" w:rsidRDefault="00503937" w14:paraId="1E13555B" w14:textId="4110B621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r w:rsidRPr="008E048A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>ABC/3TC/EFV</w:t>
            </w:r>
          </w:p>
        </w:tc>
        <w:tc>
          <w:tcPr>
            <w:tcW w:w="2296" w:type="dxa"/>
            <w:vMerge/>
            <w:shd w:val="clear" w:color="auto" w:fill="FFFFFF" w:themeFill="background1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503937" w:rsidRDefault="00503937" w14:paraId="66BE3D3A" w14:textId="5F5C1262">
            <w:pPr>
              <w:spacing w:after="0"/>
              <w:contextualSpacing/>
              <w:jc w:val="both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FFFFFF" w:themeFill="background1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503937" w:rsidRDefault="00503937" w14:paraId="2B3FCA9D" w14:textId="77777777">
            <w:pPr>
              <w:spacing w:after="0"/>
              <w:contextualSpacing/>
              <w:jc w:val="both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</w:p>
        </w:tc>
      </w:tr>
      <w:tr w:rsidRPr="001254D5" w:rsidR="00503937" w:rsidTr="000E56FF" w14:paraId="1C9214AA" w14:textId="77777777">
        <w:trPr>
          <w:trHeight w:val="302"/>
          <w:jc w:val="center"/>
        </w:trPr>
        <w:tc>
          <w:tcPr>
            <w:tcW w:w="3424" w:type="dxa"/>
            <w:shd w:val="clear" w:color="auto" w:fill="D9D9D9" w:themeFill="background1" w:themeFillShade="D9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="00503937" w:rsidP="008E048A" w:rsidRDefault="00503937" w14:paraId="6DF4F690" w14:textId="680BDAC8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r w:rsidRPr="008E048A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>ABC/3TC/NVP</w:t>
            </w:r>
          </w:p>
        </w:tc>
        <w:tc>
          <w:tcPr>
            <w:tcW w:w="2296" w:type="dxa"/>
            <w:vMerge/>
            <w:shd w:val="clear" w:color="auto" w:fill="FFFFFF" w:themeFill="background1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="00503937" w:rsidP="00503937" w:rsidRDefault="00503937" w14:paraId="69A3D67D" w14:textId="77777777">
            <w:pPr>
              <w:spacing w:after="0"/>
              <w:contextualSpacing/>
              <w:jc w:val="both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FFFFFF" w:themeFill="background1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503937" w:rsidRDefault="00503937" w14:paraId="4D687411" w14:textId="77777777">
            <w:pPr>
              <w:spacing w:after="0"/>
              <w:contextualSpacing/>
              <w:jc w:val="both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</w:p>
        </w:tc>
      </w:tr>
      <w:tr w:rsidRPr="001254D5" w:rsidR="00503937" w:rsidTr="000E56FF" w14:paraId="17AEB84E" w14:textId="77777777">
        <w:trPr>
          <w:trHeight w:val="302"/>
          <w:jc w:val="center"/>
        </w:trPr>
        <w:tc>
          <w:tcPr>
            <w:tcW w:w="3424" w:type="dxa"/>
            <w:shd w:val="clear" w:color="auto" w:fill="auto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="00503937" w:rsidP="008E048A" w:rsidRDefault="00503937" w14:paraId="094CD329" w14:textId="22CAD879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r w:rsidRPr="008E048A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>AZT/3TC/LPV/r</w:t>
            </w:r>
          </w:p>
        </w:tc>
        <w:tc>
          <w:tcPr>
            <w:tcW w:w="2296" w:type="dxa"/>
            <w:vMerge w:val="restart"/>
            <w:shd w:val="clear" w:color="auto" w:fill="FFFFFF" w:themeFill="background1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="00503937" w:rsidP="008E048A" w:rsidRDefault="00503937" w14:paraId="634D78C7" w14:textId="417BBE59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r w:rsidRPr="008E048A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>AZT/3TC/DTG</w:t>
            </w:r>
          </w:p>
        </w:tc>
        <w:tc>
          <w:tcPr>
            <w:tcW w:w="2511" w:type="dxa"/>
            <w:vMerge w:val="restart"/>
            <w:shd w:val="clear" w:color="auto" w:fill="FFFFFF" w:themeFill="background1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8E048A" w:rsidRDefault="00C65D7E" w14:paraId="2E1F538F" w14:textId="36A1E03E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r w:rsidRPr="008E048A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>ABC/3TC/DTG</w:t>
            </w:r>
          </w:p>
        </w:tc>
      </w:tr>
      <w:tr w:rsidRPr="001254D5" w:rsidR="00503937" w:rsidTr="000E56FF" w14:paraId="73505F08" w14:textId="77777777">
        <w:trPr>
          <w:trHeight w:val="302"/>
          <w:jc w:val="center"/>
        </w:trPr>
        <w:tc>
          <w:tcPr>
            <w:tcW w:w="3424" w:type="dxa"/>
            <w:shd w:val="clear" w:color="auto" w:fill="auto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="00503937" w:rsidP="008E048A" w:rsidRDefault="00503937" w14:paraId="093C138A" w14:textId="7BB34700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r w:rsidRPr="008E048A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>AZT/3TC/EFV</w:t>
            </w:r>
          </w:p>
        </w:tc>
        <w:tc>
          <w:tcPr>
            <w:tcW w:w="2296" w:type="dxa"/>
            <w:vMerge/>
            <w:shd w:val="clear" w:color="auto" w:fill="FFFFFF" w:themeFill="background1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="00503937" w:rsidP="00503937" w:rsidRDefault="00503937" w14:paraId="60C65A11" w14:textId="77777777">
            <w:pPr>
              <w:spacing w:after="0"/>
              <w:contextualSpacing/>
              <w:jc w:val="both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FFFFFF" w:themeFill="background1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503937" w:rsidRDefault="00503937" w14:paraId="347A1C36" w14:textId="77777777">
            <w:pPr>
              <w:spacing w:after="0"/>
              <w:contextualSpacing/>
              <w:jc w:val="both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</w:p>
        </w:tc>
      </w:tr>
      <w:tr w:rsidRPr="001254D5" w:rsidR="00503937" w:rsidTr="000E56FF" w14:paraId="4E42EE1A" w14:textId="77777777">
        <w:trPr>
          <w:trHeight w:val="302"/>
          <w:jc w:val="center"/>
        </w:trPr>
        <w:tc>
          <w:tcPr>
            <w:tcW w:w="3424" w:type="dxa"/>
            <w:shd w:val="clear" w:color="auto" w:fill="auto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8E048A" w:rsidRDefault="00503937" w14:paraId="09BB1B55" w14:textId="3927DDD7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r w:rsidRPr="008E048A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 xml:space="preserve">AZT/3TC/NVP </w:t>
            </w:r>
          </w:p>
        </w:tc>
        <w:tc>
          <w:tcPr>
            <w:tcW w:w="2296" w:type="dxa"/>
            <w:vMerge/>
            <w:shd w:val="clear" w:color="auto" w:fill="FFFFFF" w:themeFill="background1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503937" w:rsidRDefault="00503937" w14:paraId="6A143D54" w14:textId="77777777">
            <w:pPr>
              <w:spacing w:after="0"/>
              <w:contextualSpacing/>
              <w:jc w:val="both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FFFFFF" w:themeFill="background1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503937" w:rsidRDefault="00503937" w14:paraId="2581BB39" w14:textId="77777777">
            <w:pPr>
              <w:spacing w:after="0"/>
              <w:contextualSpacing/>
              <w:jc w:val="both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</w:p>
        </w:tc>
      </w:tr>
      <w:tr w:rsidRPr="001254D5" w:rsidR="00503937" w:rsidTr="000E56FF" w14:paraId="49012E68" w14:textId="77777777">
        <w:trPr>
          <w:trHeight w:val="302"/>
          <w:jc w:val="center"/>
        </w:trPr>
        <w:tc>
          <w:tcPr>
            <w:tcW w:w="3424" w:type="dxa"/>
            <w:shd w:val="clear" w:color="auto" w:fill="D9D9D9" w:themeFill="background1" w:themeFillShade="D9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8E048A" w:rsidRDefault="00503937" w14:paraId="08B0964B" w14:textId="5AF679D2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Autres</w:t>
            </w:r>
            <w:proofErr w:type="spellEnd"/>
          </w:p>
        </w:tc>
        <w:tc>
          <w:tcPr>
            <w:tcW w:w="4807" w:type="dxa"/>
            <w:gridSpan w:val="2"/>
            <w:shd w:val="clear" w:color="auto" w:fill="auto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Pr="001254D5" w:rsidR="00503937" w:rsidDel="00782A1B" w:rsidP="008E048A" w:rsidRDefault="00503937" w14:paraId="19B3B9D7" w14:textId="6FC7FF87">
            <w:pPr>
              <w:spacing w:after="0"/>
              <w:contextualSpacing/>
              <w:jc w:val="center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Demander </w:t>
            </w:r>
            <w:proofErr w:type="spellStart"/>
            <w:r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l'avis</w:t>
            </w:r>
            <w:proofErr w:type="spellEnd"/>
            <w:r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d'un expert</w:t>
            </w:r>
          </w:p>
        </w:tc>
      </w:tr>
      <w:tr w:rsidRPr="001254D5" w:rsidR="000E56FF" w:rsidTr="000E56FF" w14:paraId="7C8B0231" w14:textId="77777777">
        <w:trPr>
          <w:trHeight w:val="302"/>
          <w:jc w:val="center"/>
        </w:trPr>
        <w:tc>
          <w:tcPr>
            <w:tcW w:w="8231" w:type="dxa"/>
            <w:gridSpan w:val="3"/>
            <w:shd w:val="clear" w:color="auto" w:fill="auto"/>
            <w:tcMar>
              <w:top w:w="15" w:type="dxa"/>
              <w:left w:w="111" w:type="dxa"/>
              <w:bottom w:w="0" w:type="dxa"/>
              <w:right w:w="111" w:type="dxa"/>
            </w:tcMar>
            <w:vAlign w:val="center"/>
          </w:tcPr>
          <w:p w:rsidR="000E56FF" w:rsidP="000E56FF" w:rsidRDefault="000E56FF" w14:paraId="4D087E52" w14:textId="451D885D">
            <w:pPr>
              <w:spacing w:after="0"/>
              <w:contextualSpacing/>
              <w:jc w:val="both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* La </w:t>
            </w:r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suppression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virale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est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définie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comme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l'ARN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du VIH-1 &lt; 1 000 copies. Le test doit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avoir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été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effectué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il y a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moins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de 12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mois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,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sinon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un nouveau test de charge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virale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est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recommandé</w:t>
            </w:r>
            <w:proofErr w:type="spellEnd"/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.</w:t>
            </w:r>
          </w:p>
          <w:p w:rsidR="000E56FF" w:rsidP="000E56FF" w:rsidRDefault="000E56FF" w14:paraId="374257A2" w14:textId="77777777">
            <w:pPr>
              <w:spacing w:after="0"/>
              <w:contextualSpacing/>
              <w:jc w:val="both"/>
              <w:rPr>
                <w:rFonts w:eastAsia="Times New Roman" w:cstheme="minorHAnsi"/>
                <w:i/>
                <w:iCs/>
                <w:kern w:val="24"/>
                <w:sz w:val="20"/>
                <w:szCs w:val="20"/>
              </w:rPr>
            </w:pPr>
            <w:r w:rsidRPr="000E56F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**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kern w:val="24"/>
                <w:sz w:val="20"/>
                <w:szCs w:val="20"/>
              </w:rPr>
              <w:t>Suivant</w:t>
            </w:r>
            <w:proofErr w:type="spellEnd"/>
            <w:r w:rsidRPr="000E56FF">
              <w:rPr>
                <w:rFonts w:eastAsia="Times New Roman" w:cstheme="minorHAnsi"/>
                <w:i/>
                <w:iCs/>
                <w:kern w:val="24"/>
                <w:sz w:val="20"/>
                <w:szCs w:val="20"/>
              </w:rPr>
              <w:t xml:space="preserve"> les directives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kern w:val="24"/>
                <w:sz w:val="20"/>
                <w:szCs w:val="20"/>
              </w:rPr>
              <w:t>nationales</w:t>
            </w:r>
            <w:proofErr w:type="spellEnd"/>
            <w:r w:rsidRPr="000E56FF">
              <w:rPr>
                <w:rFonts w:eastAsia="Times New Roman" w:cstheme="minorHAnsi"/>
                <w:i/>
                <w:iCs/>
                <w:kern w:val="24"/>
                <w:sz w:val="20"/>
                <w:szCs w:val="20"/>
              </w:rPr>
              <w:t xml:space="preserve"> sur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kern w:val="24"/>
                <w:sz w:val="20"/>
                <w:szCs w:val="20"/>
              </w:rPr>
              <w:t>l'échec</w:t>
            </w:r>
            <w:proofErr w:type="spellEnd"/>
            <w:r w:rsidRPr="000E56FF">
              <w:rPr>
                <w:rFonts w:eastAsia="Times New Roman" w:cstheme="minorHAnsi"/>
                <w:i/>
                <w:iCs/>
                <w:kern w:val="24"/>
                <w:sz w:val="20"/>
                <w:szCs w:val="20"/>
              </w:rPr>
              <w:t xml:space="preserve"> du </w:t>
            </w:r>
            <w:proofErr w:type="spellStart"/>
            <w:r w:rsidRPr="000E56FF">
              <w:rPr>
                <w:rFonts w:eastAsia="Times New Roman" w:cstheme="minorHAnsi"/>
                <w:i/>
                <w:iCs/>
                <w:kern w:val="24"/>
                <w:sz w:val="20"/>
                <w:szCs w:val="20"/>
              </w:rPr>
              <w:t>traitement</w:t>
            </w:r>
            <w:proofErr w:type="spellEnd"/>
            <w:r w:rsidRPr="000E56FF">
              <w:rPr>
                <w:rFonts w:eastAsia="Times New Roman" w:cstheme="minorHAnsi"/>
                <w:i/>
                <w:iCs/>
                <w:kern w:val="24"/>
                <w:sz w:val="20"/>
                <w:szCs w:val="20"/>
              </w:rPr>
              <w:t xml:space="preserve"> du VIH</w:t>
            </w:r>
            <w:r>
              <w:rPr>
                <w:rFonts w:eastAsia="Times New Roman" w:cstheme="minorHAnsi"/>
                <w:i/>
                <w:iCs/>
                <w:kern w:val="24"/>
                <w:sz w:val="20"/>
                <w:szCs w:val="20"/>
              </w:rPr>
              <w:t>.</w:t>
            </w:r>
          </w:p>
          <w:p w:rsidRPr="000E56FF" w:rsidR="00A62E20" w:rsidP="000E56FF" w:rsidRDefault="00A62E20" w14:paraId="7FBC796B" w14:textId="5C7EEC58">
            <w:pPr>
              <w:spacing w:after="0"/>
              <w:contextualSpacing/>
              <w:jc w:val="both"/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</w:pPr>
            <w:r w:rsidRPr="00A62E20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 xml:space="preserve">Remarque : </w:t>
            </w:r>
            <w:proofErr w:type="spellStart"/>
            <w:r w:rsidRPr="00A62E20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>l'</w:t>
            </w:r>
            <w:r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absence</w:t>
            </w:r>
            <w:proofErr w:type="spellEnd"/>
            <w:r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de </w:t>
            </w:r>
            <w:r w:rsidRPr="00A62E20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test de charge </w:t>
            </w:r>
            <w:proofErr w:type="spellStart"/>
            <w:r w:rsidRPr="00A62E20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virale</w:t>
            </w:r>
            <w:proofErr w:type="spellEnd"/>
            <w:r w:rsidRPr="00A62E20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ne doit pas </w:t>
            </w:r>
            <w:proofErr w:type="spellStart"/>
            <w:r w:rsidRPr="00A62E20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constituer</w:t>
            </w:r>
            <w:proofErr w:type="spellEnd"/>
            <w:r w:rsidRPr="00A62E20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un obstacle à </w:t>
            </w:r>
            <w:proofErr w:type="spellStart"/>
            <w:r w:rsidRPr="00A62E20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l'accès</w:t>
            </w:r>
            <w:proofErr w:type="spellEnd"/>
            <w:r w:rsidRPr="00A62E20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 xml:space="preserve"> au pDTG</w:t>
            </w:r>
            <w:r w:rsidR="00B8606F">
              <w:rPr>
                <w:rFonts w:eastAsia="Times New Roman" w:cstheme="minorHAnsi"/>
                <w:i/>
                <w:iCs/>
                <w:color w:val="000000"/>
                <w:kern w:val="24"/>
                <w:sz w:val="20"/>
                <w:szCs w:val="20"/>
              </w:rPr>
              <w:t>.</w:t>
            </w:r>
          </w:p>
        </w:tc>
      </w:tr>
    </w:tbl>
    <w:p w:rsidRPr="00962853" w:rsidR="000E624C" w:rsidP="00370DC1" w:rsidRDefault="000E624C" w14:paraId="709E4248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Pr="00962853" w:rsidR="00B04E31" w:rsidP="00370DC1" w:rsidRDefault="00B04E31" w14:paraId="6D884DBB" w14:textId="2CE05A25">
      <w:pPr>
        <w:pStyle w:val="Heading3"/>
        <w:numPr>
          <w:ilvl w:val="2"/>
          <w:numId w:val="23"/>
        </w:numPr>
        <w:jc w:val="both"/>
        <w:rPr>
          <w:rFonts w:asciiTheme="minorHAnsi" w:hAnsiTheme="minorHAnsi" w:cstheme="minorHAnsi"/>
        </w:rPr>
      </w:pPr>
      <w:r w:rsidRPr="00962853">
        <w:rPr>
          <w:rFonts w:asciiTheme="minorHAnsi" w:hAnsiTheme="minorHAnsi" w:cstheme="minorHAnsi"/>
        </w:rPr>
        <w:t>Initiation de nouveaux patients</w:t>
      </w:r>
    </w:p>
    <w:p w:rsidRPr="00962853" w:rsidR="00C22FDC" w:rsidP="00370DC1" w:rsidRDefault="000F256B" w14:paraId="15FF7300" w14:textId="7DE50585">
      <w:pPr>
        <w:pStyle w:val="EndnoteText"/>
        <w:spacing w:line="276" w:lineRule="auto"/>
        <w:jc w:val="both"/>
        <w:rPr>
          <w:rFonts w:cstheme="minorHAnsi"/>
          <w:b/>
          <w:bCs/>
          <w:sz w:val="22"/>
          <w:szCs w:val="22"/>
        </w:rPr>
      </w:pPr>
      <w:proofErr w:type="spellStart"/>
      <w:r w:rsidRPr="00DB0313">
        <w:rPr>
          <w:rFonts w:cstheme="minorHAnsi"/>
          <w:bCs/>
          <w:sz w:val="22"/>
          <w:szCs w:val="22"/>
        </w:rPr>
        <w:t>Tous</w:t>
      </w:r>
      <w:proofErr w:type="spellEnd"/>
      <w:r w:rsidRPr="00DB0313">
        <w:rPr>
          <w:rFonts w:cstheme="minorHAnsi"/>
          <w:bCs/>
          <w:sz w:val="22"/>
          <w:szCs w:val="22"/>
        </w:rPr>
        <w:t xml:space="preserve"> les nouveaux enfants </w:t>
      </w:r>
      <w:proofErr w:type="spellStart"/>
      <w:r w:rsidRPr="00DB0313">
        <w:rPr>
          <w:rFonts w:cstheme="minorHAnsi"/>
          <w:bCs/>
          <w:sz w:val="22"/>
          <w:szCs w:val="22"/>
        </w:rPr>
        <w:t>séropositifs</w:t>
      </w:r>
      <w:proofErr w:type="spellEnd"/>
      <w:r w:rsidRPr="00DB0313">
        <w:rPr>
          <w:rFonts w:cstheme="minorHAnsi"/>
          <w:bCs/>
          <w:sz w:val="22"/>
          <w:szCs w:val="22"/>
        </w:rPr>
        <w:t xml:space="preserve"> </w:t>
      </w:r>
      <w:r w:rsidR="00DB0313">
        <w:rPr>
          <w:rFonts w:cstheme="minorHAnsi"/>
          <w:bCs/>
          <w:sz w:val="22"/>
          <w:szCs w:val="22"/>
        </w:rPr>
        <w:t xml:space="preserve">de </w:t>
      </w:r>
      <w:r w:rsidR="00C177B8">
        <w:rPr>
          <w:rFonts w:cstheme="minorHAnsi"/>
          <w:bCs/>
          <w:sz w:val="22"/>
          <w:szCs w:val="22"/>
        </w:rPr>
        <w:t xml:space="preserve">plus de </w:t>
      </w:r>
      <w:r w:rsidRPr="00DB0313">
        <w:rPr>
          <w:rFonts w:cstheme="minorHAnsi"/>
          <w:bCs/>
          <w:sz w:val="22"/>
          <w:szCs w:val="22"/>
        </w:rPr>
        <w:t xml:space="preserve">4 </w:t>
      </w:r>
      <w:proofErr w:type="spellStart"/>
      <w:r w:rsidRPr="00DB0313">
        <w:rPr>
          <w:rFonts w:cstheme="minorHAnsi"/>
          <w:bCs/>
          <w:sz w:val="22"/>
          <w:szCs w:val="22"/>
        </w:rPr>
        <w:t>semaines</w:t>
      </w:r>
      <w:proofErr w:type="spellEnd"/>
      <w:r w:rsidRPr="00DB0313">
        <w:rPr>
          <w:rFonts w:cstheme="minorHAnsi"/>
          <w:bCs/>
          <w:sz w:val="22"/>
          <w:szCs w:val="22"/>
        </w:rPr>
        <w:t xml:space="preserve"> et </w:t>
      </w:r>
      <w:proofErr w:type="spellStart"/>
      <w:r w:rsidR="00DB0313">
        <w:rPr>
          <w:rFonts w:cstheme="minorHAnsi"/>
          <w:bCs/>
          <w:sz w:val="22"/>
          <w:szCs w:val="22"/>
        </w:rPr>
        <w:t>pesant</w:t>
      </w:r>
      <w:proofErr w:type="spellEnd"/>
      <w:r w:rsidR="00DB0313">
        <w:rPr>
          <w:rFonts w:cstheme="minorHAnsi"/>
          <w:bCs/>
          <w:sz w:val="22"/>
          <w:szCs w:val="22"/>
        </w:rPr>
        <w:t xml:space="preserve"> </w:t>
      </w:r>
      <w:r w:rsidRPr="00DB0313">
        <w:rPr>
          <w:rFonts w:cstheme="minorHAnsi"/>
          <w:bCs/>
          <w:sz w:val="22"/>
          <w:szCs w:val="22"/>
        </w:rPr>
        <w:t xml:space="preserve">entre 3 et 20 kg </w:t>
      </w:r>
      <w:proofErr w:type="spellStart"/>
      <w:r w:rsidRPr="00DB0313">
        <w:rPr>
          <w:rFonts w:cstheme="minorHAnsi"/>
          <w:bCs/>
          <w:sz w:val="22"/>
          <w:szCs w:val="22"/>
        </w:rPr>
        <w:t>doivent</w:t>
      </w:r>
      <w:proofErr w:type="spellEnd"/>
      <w:r w:rsidRPr="00DB0313">
        <w:rPr>
          <w:rFonts w:cstheme="minorHAnsi"/>
          <w:bCs/>
          <w:sz w:val="22"/>
          <w:szCs w:val="22"/>
        </w:rPr>
        <w:t xml:space="preserve"> commencer à prendre des </w:t>
      </w:r>
      <w:r w:rsidR="00DB0313">
        <w:rPr>
          <w:rFonts w:cstheme="minorHAnsi"/>
          <w:bCs/>
          <w:sz w:val="22"/>
          <w:szCs w:val="22"/>
        </w:rPr>
        <w:t xml:space="preserve">pDTG </w:t>
      </w:r>
      <w:r w:rsidRPr="00DB0313">
        <w:rPr>
          <w:rFonts w:cstheme="minorHAnsi"/>
          <w:bCs/>
          <w:sz w:val="22"/>
          <w:szCs w:val="22"/>
        </w:rPr>
        <w:t xml:space="preserve">avec des </w:t>
      </w:r>
      <w:proofErr w:type="spellStart"/>
      <w:r w:rsidRPr="00DB0313">
        <w:rPr>
          <w:rFonts w:cstheme="minorHAnsi"/>
          <w:bCs/>
          <w:sz w:val="22"/>
          <w:szCs w:val="22"/>
        </w:rPr>
        <w:t>comprimés</w:t>
      </w:r>
      <w:proofErr w:type="spellEnd"/>
      <w:r w:rsidRPr="00DB031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B0313">
        <w:rPr>
          <w:rFonts w:cstheme="minorHAnsi"/>
          <w:bCs/>
          <w:sz w:val="22"/>
          <w:szCs w:val="22"/>
        </w:rPr>
        <w:t>sécables</w:t>
      </w:r>
      <w:proofErr w:type="spellEnd"/>
      <w:r w:rsidRPr="00DB0313">
        <w:rPr>
          <w:rFonts w:cstheme="minorHAnsi"/>
          <w:bCs/>
          <w:sz w:val="22"/>
          <w:szCs w:val="22"/>
        </w:rPr>
        <w:t xml:space="preserve"> ABC/3TC (120/60 mg). Le dosage des deux </w:t>
      </w:r>
      <w:proofErr w:type="spellStart"/>
      <w:r w:rsidRPr="00DB0313">
        <w:rPr>
          <w:rFonts w:cstheme="minorHAnsi"/>
          <w:bCs/>
          <w:sz w:val="22"/>
          <w:szCs w:val="22"/>
        </w:rPr>
        <w:lastRenderedPageBreak/>
        <w:t>produits</w:t>
      </w:r>
      <w:proofErr w:type="spellEnd"/>
      <w:r w:rsidRPr="00DB0313">
        <w:rPr>
          <w:rFonts w:cstheme="minorHAnsi"/>
          <w:bCs/>
          <w:sz w:val="22"/>
          <w:szCs w:val="22"/>
        </w:rPr>
        <w:t xml:space="preserve"> doit </w:t>
      </w:r>
      <w:proofErr w:type="spellStart"/>
      <w:r w:rsidRPr="00DB0313">
        <w:rPr>
          <w:rFonts w:cstheme="minorHAnsi"/>
          <w:bCs/>
          <w:sz w:val="22"/>
          <w:szCs w:val="22"/>
        </w:rPr>
        <w:t>être</w:t>
      </w:r>
      <w:proofErr w:type="spellEnd"/>
      <w:r w:rsidRPr="00DB031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B0313">
        <w:rPr>
          <w:rFonts w:cstheme="minorHAnsi"/>
          <w:bCs/>
          <w:sz w:val="22"/>
          <w:szCs w:val="22"/>
        </w:rPr>
        <w:t>déterminé</w:t>
      </w:r>
      <w:proofErr w:type="spellEnd"/>
      <w:r w:rsidRPr="00DB031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B0313">
        <w:rPr>
          <w:rFonts w:cstheme="minorHAnsi"/>
          <w:bCs/>
          <w:sz w:val="22"/>
          <w:szCs w:val="22"/>
        </w:rPr>
        <w:t>en</w:t>
      </w:r>
      <w:proofErr w:type="spellEnd"/>
      <w:r w:rsidRPr="00DB031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B0313">
        <w:rPr>
          <w:rFonts w:cstheme="minorHAnsi"/>
          <w:bCs/>
          <w:sz w:val="22"/>
          <w:szCs w:val="22"/>
        </w:rPr>
        <w:t>fonction</w:t>
      </w:r>
      <w:proofErr w:type="spellEnd"/>
      <w:r w:rsidRPr="00DB0313">
        <w:rPr>
          <w:rFonts w:cstheme="minorHAnsi"/>
          <w:bCs/>
          <w:sz w:val="22"/>
          <w:szCs w:val="22"/>
        </w:rPr>
        <w:t xml:space="preserve"> du </w:t>
      </w:r>
      <w:proofErr w:type="spellStart"/>
      <w:r w:rsidRPr="00DB0313">
        <w:rPr>
          <w:rFonts w:cstheme="minorHAnsi"/>
          <w:bCs/>
          <w:sz w:val="22"/>
          <w:szCs w:val="22"/>
        </w:rPr>
        <w:t>poids</w:t>
      </w:r>
      <w:proofErr w:type="spellEnd"/>
      <w:r w:rsidRPr="00DB0313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DB0313">
        <w:rPr>
          <w:rFonts w:cstheme="minorHAnsi"/>
          <w:bCs/>
          <w:sz w:val="22"/>
          <w:szCs w:val="22"/>
        </w:rPr>
        <w:t>l'enfant</w:t>
      </w:r>
      <w:proofErr w:type="spellEnd"/>
      <w:r w:rsidRPr="00DB0313">
        <w:rPr>
          <w:rFonts w:cstheme="minorHAnsi"/>
          <w:bCs/>
          <w:sz w:val="22"/>
          <w:szCs w:val="22"/>
        </w:rPr>
        <w:t xml:space="preserve">. </w:t>
      </w:r>
      <w:r w:rsidRPr="003610AC" w:rsidR="00962853">
        <w:rPr>
          <w:rFonts w:cstheme="minorHAnsi"/>
          <w:bCs/>
          <w:i/>
          <w:iCs/>
          <w:sz w:val="22"/>
          <w:szCs w:val="22"/>
          <w:highlight w:val="yellow"/>
        </w:rPr>
        <w:t>[</w:t>
      </w:r>
      <w:proofErr w:type="spellStart"/>
      <w:r w:rsidRPr="003610AC" w:rsidR="00962853">
        <w:rPr>
          <w:rFonts w:cstheme="minorHAnsi"/>
          <w:bCs/>
          <w:i/>
          <w:iCs/>
          <w:sz w:val="22"/>
          <w:szCs w:val="22"/>
          <w:highlight w:val="yellow"/>
        </w:rPr>
        <w:t>préciser</w:t>
      </w:r>
      <w:proofErr w:type="spellEnd"/>
      <w:r w:rsidRPr="003610AC" w:rsidR="00962853">
        <w:rPr>
          <w:rFonts w:cstheme="minorHAnsi"/>
          <w:bCs/>
          <w:i/>
          <w:iCs/>
          <w:sz w:val="22"/>
          <w:szCs w:val="22"/>
          <w:highlight w:val="yellow"/>
        </w:rPr>
        <w:t xml:space="preserve"> la </w:t>
      </w:r>
      <w:proofErr w:type="spellStart"/>
      <w:r w:rsidRPr="003610AC" w:rsidR="00962853">
        <w:rPr>
          <w:rFonts w:cstheme="minorHAnsi"/>
          <w:bCs/>
          <w:i/>
          <w:iCs/>
          <w:sz w:val="22"/>
          <w:szCs w:val="22"/>
          <w:highlight w:val="yellow"/>
        </w:rPr>
        <w:t>stratégie</w:t>
      </w:r>
      <w:proofErr w:type="spellEnd"/>
      <w:r w:rsidRPr="003610AC" w:rsidR="00962853">
        <w:rPr>
          <w:rFonts w:cstheme="minorHAnsi"/>
          <w:bCs/>
          <w:i/>
          <w:iCs/>
          <w:sz w:val="22"/>
          <w:szCs w:val="22"/>
          <w:highlight w:val="yellow"/>
        </w:rPr>
        <w:t xml:space="preserve"> pour les nouveaux patients] </w:t>
      </w:r>
    </w:p>
    <w:p w:rsidR="000D1425" w:rsidP="00370DC1" w:rsidRDefault="000D1425" w14:paraId="63EAEB06" w14:textId="093DAC39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</w:p>
    <w:p w:rsidR="002B7919" w:rsidP="00370DC1" w:rsidRDefault="002B7919" w14:paraId="0F62C343" w14:textId="48DA9B78">
      <w:pPr>
        <w:pStyle w:val="Heading3"/>
        <w:numPr>
          <w:ilvl w:val="2"/>
          <w:numId w:val="23"/>
        </w:num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Stratégie</w:t>
      </w:r>
      <w:proofErr w:type="spellEnd"/>
      <w:r>
        <w:rPr>
          <w:rFonts w:asciiTheme="minorHAnsi" w:hAnsiTheme="minorHAnsi" w:cstheme="minorHAnsi"/>
        </w:rPr>
        <w:t xml:space="preserve"> de distribution sur </w:t>
      </w:r>
      <w:proofErr w:type="spellStart"/>
      <w:r>
        <w:rPr>
          <w:rFonts w:asciiTheme="minorHAnsi" w:hAnsiTheme="minorHAnsi" w:cstheme="minorHAnsi"/>
        </w:rPr>
        <w:t>plusieurs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mois</w:t>
      </w:r>
      <w:proofErr w:type="spellEnd"/>
    </w:p>
    <w:p w:rsidR="002B7919" w:rsidP="00370DC1" w:rsidRDefault="002B7919" w14:paraId="6D5C4E88" w14:textId="17D49EC8">
      <w:pPr>
        <w:pStyle w:val="EndnoteText"/>
        <w:spacing w:line="276" w:lineRule="auto"/>
        <w:jc w:val="both"/>
        <w:rPr>
          <w:rFonts w:cstheme="minorHAnsi"/>
          <w:bCs/>
          <w:i/>
          <w:iCs/>
          <w:sz w:val="22"/>
          <w:szCs w:val="22"/>
        </w:rPr>
      </w:pPr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>[</w:t>
      </w:r>
      <w:proofErr w:type="spellStart"/>
      <w:r>
        <w:rPr>
          <w:rFonts w:cstheme="minorHAnsi"/>
          <w:bCs/>
          <w:i/>
          <w:iCs/>
          <w:sz w:val="22"/>
          <w:szCs w:val="22"/>
          <w:highlight w:val="yellow"/>
        </w:rPr>
        <w:t>inclure</w:t>
      </w:r>
      <w:proofErr w:type="spellEnd"/>
      <w:r>
        <w:rPr>
          <w:rFonts w:cstheme="minorHAnsi"/>
          <w:bCs/>
          <w:i/>
          <w:iCs/>
          <w:sz w:val="22"/>
          <w:szCs w:val="22"/>
          <w:highlight w:val="yellow"/>
        </w:rPr>
        <w:t xml:space="preserve"> les directives du pays sur la MMD pour les CLHIV, </w:t>
      </w:r>
      <w:proofErr w:type="spellStart"/>
      <w:r>
        <w:rPr>
          <w:rFonts w:cstheme="minorHAnsi"/>
          <w:bCs/>
          <w:i/>
          <w:iCs/>
          <w:sz w:val="22"/>
          <w:szCs w:val="22"/>
          <w:highlight w:val="yellow"/>
        </w:rPr>
        <w:t>l'éligibilité</w:t>
      </w:r>
      <w:proofErr w:type="spellEnd"/>
      <w:r>
        <w:rPr>
          <w:rFonts w:cstheme="minorHAnsi"/>
          <w:bCs/>
          <w:i/>
          <w:iCs/>
          <w:sz w:val="22"/>
          <w:szCs w:val="22"/>
          <w:highlight w:val="yellow"/>
        </w:rPr>
        <w:t xml:space="preserve">, etc.] </w:t>
      </w:r>
    </w:p>
    <w:p w:rsidRPr="00962853" w:rsidR="002B7919" w:rsidP="00370DC1" w:rsidRDefault="002B7919" w14:paraId="4DE920E1" w14:textId="77777777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</w:p>
    <w:p w:rsidRPr="00962853" w:rsidR="00AB43BC" w:rsidP="00370DC1" w:rsidRDefault="005A5C71" w14:paraId="464742D6" w14:textId="0C169A29">
      <w:pPr>
        <w:pStyle w:val="Heading3"/>
        <w:numPr>
          <w:ilvl w:val="2"/>
          <w:numId w:val="23"/>
        </w:numPr>
        <w:jc w:val="both"/>
        <w:rPr>
          <w:rFonts w:asciiTheme="minorHAnsi" w:hAnsiTheme="minorHAnsi" w:cstheme="minorHAnsi"/>
        </w:rPr>
      </w:pPr>
      <w:proofErr w:type="spellStart"/>
      <w:r w:rsidRPr="00962853">
        <w:rPr>
          <w:rFonts w:asciiTheme="minorHAnsi" w:hAnsiTheme="minorHAnsi" w:cstheme="minorHAnsi"/>
        </w:rPr>
        <w:t>Déficit</w:t>
      </w:r>
      <w:proofErr w:type="spellEnd"/>
      <w:r w:rsidRPr="00962853">
        <w:rPr>
          <w:rFonts w:asciiTheme="minorHAnsi" w:hAnsiTheme="minorHAnsi" w:cstheme="minorHAnsi"/>
        </w:rPr>
        <w:t xml:space="preserve"> de </w:t>
      </w:r>
      <w:proofErr w:type="spellStart"/>
      <w:r w:rsidR="00631395">
        <w:rPr>
          <w:rFonts w:asciiTheme="minorHAnsi" w:hAnsiTheme="minorHAnsi" w:cstheme="minorHAnsi"/>
        </w:rPr>
        <w:t>financement</w:t>
      </w:r>
      <w:proofErr w:type="spellEnd"/>
    </w:p>
    <w:p w:rsidRPr="00631395" w:rsidR="00631395" w:rsidP="00370DC1" w:rsidRDefault="00631395" w14:paraId="1B558C45" w14:textId="2FFB940A">
      <w:pPr>
        <w:pStyle w:val="EndnoteText"/>
        <w:spacing w:line="276" w:lineRule="auto"/>
        <w:jc w:val="both"/>
        <w:rPr>
          <w:rFonts w:cstheme="minorHAnsi"/>
          <w:bCs/>
          <w:i/>
          <w:iCs/>
          <w:sz w:val="22"/>
          <w:szCs w:val="22"/>
        </w:rPr>
      </w:pPr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>[</w:t>
      </w:r>
      <w:proofErr w:type="spellStart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>résumer</w:t>
      </w:r>
      <w:proofErr w:type="spellEnd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 xml:space="preserve"> la </w:t>
      </w:r>
      <w:proofErr w:type="spellStart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>stratégie</w:t>
      </w:r>
      <w:proofErr w:type="spellEnd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 xml:space="preserve"> de </w:t>
      </w:r>
      <w:proofErr w:type="spellStart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>financement</w:t>
      </w:r>
      <w:proofErr w:type="spellEnd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 xml:space="preserve"> et tout </w:t>
      </w:r>
      <w:proofErr w:type="spellStart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>déficit</w:t>
      </w:r>
      <w:proofErr w:type="spellEnd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 xml:space="preserve"> de </w:t>
      </w:r>
      <w:proofErr w:type="spellStart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>financement</w:t>
      </w:r>
      <w:proofErr w:type="spellEnd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>potentiel</w:t>
      </w:r>
      <w:proofErr w:type="spellEnd"/>
      <w:r w:rsidRPr="002B7919">
        <w:rPr>
          <w:rFonts w:cstheme="minorHAnsi"/>
          <w:bCs/>
          <w:i/>
          <w:iCs/>
          <w:sz w:val="22"/>
          <w:szCs w:val="22"/>
          <w:highlight w:val="yellow"/>
        </w:rPr>
        <w:t xml:space="preserve"> pour le PDTG]</w:t>
      </w:r>
    </w:p>
    <w:p w:rsidRPr="007F5C54" w:rsidR="005519CF" w:rsidP="00370DC1" w:rsidRDefault="005519CF" w14:paraId="5951C729" w14:textId="3CB31DC6">
      <w:pPr>
        <w:pStyle w:val="Heading1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F5C54">
        <w:rPr>
          <w:rFonts w:asciiTheme="minorHAnsi" w:hAnsiTheme="minorHAnsi" w:cstheme="minorHAnsi"/>
        </w:rPr>
        <w:t xml:space="preserve">Plan de </w:t>
      </w:r>
      <w:r w:rsidRPr="007F5C54" w:rsidR="009323E0">
        <w:rPr>
          <w:rFonts w:asciiTheme="minorHAnsi" w:hAnsiTheme="minorHAnsi" w:cstheme="minorHAnsi"/>
        </w:rPr>
        <w:t>formation</w:t>
      </w:r>
    </w:p>
    <w:p w:rsidRPr="00962853" w:rsidR="005A5C71" w:rsidP="00370DC1" w:rsidRDefault="005A5C71" w14:paraId="315245EA" w14:textId="77777777">
      <w:pPr>
        <w:pStyle w:val="EndnoteText"/>
        <w:spacing w:line="276" w:lineRule="auto"/>
        <w:jc w:val="both"/>
        <w:rPr>
          <w:rFonts w:cstheme="minorHAnsi"/>
          <w:b/>
          <w:bCs/>
          <w:sz w:val="22"/>
          <w:szCs w:val="22"/>
        </w:rPr>
      </w:pPr>
    </w:p>
    <w:p w:rsidRPr="00962853" w:rsidR="005519CF" w:rsidP="00370DC1" w:rsidRDefault="005519CF" w14:paraId="3C50E991" w14:textId="55677E04">
      <w:pPr>
        <w:pStyle w:val="Heading2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 w:rsidRPr="00962853">
        <w:rPr>
          <w:rFonts w:asciiTheme="minorHAnsi" w:hAnsiTheme="minorHAnsi" w:cstheme="minorHAnsi"/>
        </w:rPr>
        <w:t xml:space="preserve">Cascade de </w:t>
      </w:r>
      <w:r w:rsidR="000157B6">
        <w:rPr>
          <w:rFonts w:asciiTheme="minorHAnsi" w:hAnsiTheme="minorHAnsi" w:cstheme="minorHAnsi"/>
          <w:noProof/>
        </w:rPr>
        <w:t>formation</w:t>
      </w:r>
    </w:p>
    <w:p w:rsidRPr="00962853" w:rsidR="005519CF" w:rsidP="00370DC1" w:rsidRDefault="005519CF" w14:paraId="071D2510" w14:textId="6EB6F60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  <w:r w:rsidRPr="00962853">
        <w:rPr>
          <w:rFonts w:cstheme="minorHAnsi"/>
          <w:bCs/>
          <w:sz w:val="22"/>
          <w:szCs w:val="22"/>
        </w:rPr>
        <w:t xml:space="preserve">La formation des </w:t>
      </w:r>
      <w:proofErr w:type="spellStart"/>
      <w:r w:rsidR="00524ECA">
        <w:rPr>
          <w:rFonts w:cstheme="minorHAnsi"/>
          <w:bCs/>
          <w:sz w:val="22"/>
          <w:szCs w:val="22"/>
        </w:rPr>
        <w:t>travailleurs</w:t>
      </w:r>
      <w:proofErr w:type="spellEnd"/>
      <w:r w:rsidR="00524ECA">
        <w:rPr>
          <w:rFonts w:cstheme="minorHAnsi"/>
          <w:bCs/>
          <w:sz w:val="22"/>
          <w:szCs w:val="22"/>
        </w:rPr>
        <w:t xml:space="preserve"> de la </w:t>
      </w:r>
      <w:proofErr w:type="spellStart"/>
      <w:r w:rsidR="00524ECA">
        <w:rPr>
          <w:rFonts w:cstheme="minorHAnsi"/>
          <w:bCs/>
          <w:sz w:val="22"/>
          <w:szCs w:val="22"/>
        </w:rPr>
        <w:t>santé</w:t>
      </w:r>
      <w:proofErr w:type="spellEnd"/>
      <w:r w:rsidR="00524ECA">
        <w:rPr>
          <w:rFonts w:cstheme="minorHAnsi"/>
          <w:bCs/>
          <w:sz w:val="22"/>
          <w:szCs w:val="22"/>
        </w:rPr>
        <w:t xml:space="preserve"> </w:t>
      </w:r>
      <w:r w:rsidR="00C65D7E">
        <w:rPr>
          <w:rFonts w:cstheme="minorHAnsi"/>
          <w:bCs/>
          <w:sz w:val="22"/>
          <w:szCs w:val="22"/>
        </w:rPr>
        <w:t xml:space="preserve">(HCW) </w:t>
      </w:r>
      <w:r w:rsidRPr="00962853">
        <w:rPr>
          <w:rFonts w:cstheme="minorHAnsi"/>
          <w:bCs/>
          <w:sz w:val="22"/>
          <w:szCs w:val="22"/>
        </w:rPr>
        <w:t xml:space="preserve">doit </w:t>
      </w:r>
      <w:proofErr w:type="spellStart"/>
      <w:r w:rsidRPr="00962853">
        <w:rPr>
          <w:rFonts w:cstheme="minorHAnsi"/>
          <w:bCs/>
          <w:sz w:val="22"/>
          <w:szCs w:val="22"/>
        </w:rPr>
        <w:t>être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mise </w:t>
      </w:r>
      <w:proofErr w:type="spellStart"/>
      <w:r w:rsidRPr="00962853">
        <w:rPr>
          <w:rFonts w:cstheme="minorHAnsi"/>
          <w:bCs/>
          <w:sz w:val="22"/>
          <w:szCs w:val="22"/>
        </w:rPr>
        <w:t>en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œuvre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dans le cadre </w:t>
      </w:r>
      <w:proofErr w:type="spellStart"/>
      <w:r w:rsidRPr="00962853">
        <w:rPr>
          <w:rFonts w:cstheme="minorHAnsi"/>
          <w:bCs/>
          <w:sz w:val="22"/>
          <w:szCs w:val="22"/>
        </w:rPr>
        <w:t>d'une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transition </w:t>
      </w:r>
      <w:proofErr w:type="spellStart"/>
      <w:r w:rsidRPr="00962853">
        <w:rPr>
          <w:rFonts w:cstheme="minorHAnsi"/>
          <w:bCs/>
          <w:sz w:val="22"/>
          <w:szCs w:val="22"/>
        </w:rPr>
        <w:t>vers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un nouveau </w:t>
      </w:r>
      <w:proofErr w:type="spellStart"/>
      <w:r w:rsidRPr="00962853">
        <w:rPr>
          <w:rFonts w:cstheme="minorHAnsi"/>
          <w:bCs/>
          <w:sz w:val="22"/>
          <w:szCs w:val="22"/>
        </w:rPr>
        <w:t>produit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, </w:t>
      </w:r>
      <w:proofErr w:type="spellStart"/>
      <w:r w:rsidRPr="00962853">
        <w:rPr>
          <w:rFonts w:cstheme="minorHAnsi"/>
          <w:bCs/>
          <w:sz w:val="22"/>
          <w:szCs w:val="22"/>
        </w:rPr>
        <w:t>même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si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la formation </w:t>
      </w:r>
      <w:proofErr w:type="spellStart"/>
      <w:r w:rsidRPr="00962853">
        <w:rPr>
          <w:rFonts w:cstheme="minorHAnsi"/>
          <w:bCs/>
          <w:sz w:val="22"/>
          <w:szCs w:val="22"/>
        </w:rPr>
        <w:t>est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minimale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. </w:t>
      </w:r>
      <w:proofErr w:type="spellStart"/>
      <w:r w:rsidRPr="00962853">
        <w:rPr>
          <w:rFonts w:cstheme="minorHAnsi"/>
          <w:bCs/>
          <w:sz w:val="22"/>
          <w:szCs w:val="22"/>
        </w:rPr>
        <w:t>Cela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permet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bCs/>
          <w:sz w:val="22"/>
          <w:szCs w:val="22"/>
        </w:rPr>
        <w:t>réduire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la confusion et les </w:t>
      </w:r>
      <w:proofErr w:type="spellStart"/>
      <w:r w:rsidRPr="00962853">
        <w:rPr>
          <w:rFonts w:cstheme="minorHAnsi"/>
          <w:bCs/>
          <w:sz w:val="22"/>
          <w:szCs w:val="22"/>
        </w:rPr>
        <w:t>risques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d'utilisation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abusive du </w:t>
      </w:r>
      <w:proofErr w:type="spellStart"/>
      <w:r w:rsidRPr="00962853">
        <w:rPr>
          <w:rFonts w:cstheme="minorHAnsi"/>
          <w:bCs/>
          <w:sz w:val="22"/>
          <w:szCs w:val="22"/>
        </w:rPr>
        <w:t>produit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. </w:t>
      </w:r>
    </w:p>
    <w:p w:rsidRPr="00962853" w:rsidR="00C7575C" w:rsidP="00370DC1" w:rsidRDefault="00C7575C" w14:paraId="042391EF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="005519CF" w:rsidP="00370DC1" w:rsidRDefault="005519CF" w14:paraId="63A23D5D" w14:textId="26C00385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  <w:r w:rsidRPr="00962853">
        <w:rPr>
          <w:rFonts w:cstheme="minorHAnsi"/>
          <w:bCs/>
          <w:sz w:val="22"/>
          <w:szCs w:val="22"/>
        </w:rPr>
        <w:t xml:space="preserve">Dans </w:t>
      </w:r>
      <w:proofErr w:type="spellStart"/>
      <w:r w:rsidRPr="00962853">
        <w:rPr>
          <w:rFonts w:cstheme="minorHAnsi"/>
          <w:bCs/>
          <w:sz w:val="22"/>
          <w:szCs w:val="22"/>
        </w:rPr>
        <w:t>ce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cas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, </w:t>
      </w:r>
      <w:r w:rsidRPr="00451804" w:rsidR="000410BB">
        <w:rPr>
          <w:rFonts w:cstheme="minorHAnsi"/>
          <w:bCs/>
          <w:sz w:val="22"/>
          <w:szCs w:val="22"/>
        </w:rPr>
        <w:t xml:space="preserve">un résumé de la </w:t>
      </w:r>
      <w:commentRangeStart w:id="6"/>
      <w:r w:rsidRPr="00451804" w:rsidR="00C276F5">
        <w:rPr>
          <w:rFonts w:cstheme="minorHAnsi"/>
          <w:bCs/>
          <w:sz w:val="22"/>
          <w:szCs w:val="22"/>
        </w:rPr>
        <w:t xml:space="preserve">formation </w:t>
      </w:r>
      <w:r w:rsidRPr="00DB0313" w:rsidR="000410BB">
        <w:rPr>
          <w:rFonts w:cstheme="minorHAnsi"/>
          <w:bCs/>
          <w:sz w:val="22"/>
          <w:szCs w:val="22"/>
        </w:rPr>
        <w:t xml:space="preserve">avec un </w:t>
      </w:r>
      <w:proofErr w:type="spellStart"/>
      <w:r w:rsidRPr="00DB0313" w:rsidR="000410BB">
        <w:rPr>
          <w:rFonts w:cstheme="minorHAnsi"/>
          <w:bCs/>
          <w:sz w:val="22"/>
          <w:szCs w:val="22"/>
        </w:rPr>
        <w:t>calendrier</w:t>
      </w:r>
      <w:proofErr w:type="spellEnd"/>
      <w:r w:rsidRPr="00DB0313" w:rsidR="000410BB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B0313" w:rsidR="000410BB">
        <w:rPr>
          <w:rFonts w:cstheme="minorHAnsi"/>
          <w:bCs/>
          <w:sz w:val="22"/>
          <w:szCs w:val="22"/>
        </w:rPr>
        <w:t>est</w:t>
      </w:r>
      <w:proofErr w:type="spellEnd"/>
      <w:r w:rsidRPr="00DB0313" w:rsidR="000410BB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B0313" w:rsidR="000410BB">
        <w:rPr>
          <w:rFonts w:cstheme="minorHAnsi"/>
          <w:bCs/>
          <w:sz w:val="22"/>
          <w:szCs w:val="22"/>
        </w:rPr>
        <w:t>présenté</w:t>
      </w:r>
      <w:proofErr w:type="spellEnd"/>
      <w:r w:rsidRPr="00DB0313" w:rsidR="000410BB">
        <w:rPr>
          <w:rFonts w:cstheme="minorHAnsi"/>
          <w:bCs/>
          <w:sz w:val="22"/>
          <w:szCs w:val="22"/>
        </w:rPr>
        <w:t xml:space="preserve"> </w:t>
      </w:r>
      <w:r w:rsidRPr="00DB0313" w:rsidR="00C276F5">
        <w:rPr>
          <w:rFonts w:cstheme="minorHAnsi"/>
          <w:bCs/>
          <w:sz w:val="22"/>
          <w:szCs w:val="22"/>
        </w:rPr>
        <w:t>ci-dessous</w:t>
      </w:r>
      <w:commentRangeEnd w:id="6"/>
      <w:r w:rsidRPr="00DB0313" w:rsidR="00DB0313">
        <w:rPr>
          <w:rStyle w:val="CommentReference"/>
        </w:rPr>
        <w:commentReference w:id="6"/>
      </w:r>
      <w:r w:rsidRPr="001254D5" w:rsidR="000410BB">
        <w:rPr>
          <w:rFonts w:cstheme="minorHAnsi"/>
          <w:bCs/>
          <w:i/>
          <w:iCs/>
          <w:sz w:val="22"/>
          <w:szCs w:val="22"/>
        </w:rPr>
        <w:t xml:space="preserve">. </w:t>
      </w:r>
      <w:r w:rsidRPr="00962853" w:rsidR="000410BB">
        <w:rPr>
          <w:rFonts w:cstheme="minorHAnsi"/>
          <w:bCs/>
          <w:sz w:val="22"/>
          <w:szCs w:val="22"/>
        </w:rPr>
        <w:t xml:space="preserve">Ce </w:t>
      </w:r>
      <w:proofErr w:type="spellStart"/>
      <w:r w:rsidRPr="00962853" w:rsidR="000410BB">
        <w:rPr>
          <w:rFonts w:cstheme="minorHAnsi"/>
          <w:bCs/>
          <w:sz w:val="22"/>
          <w:szCs w:val="22"/>
        </w:rPr>
        <w:t>calendrier</w:t>
      </w:r>
      <w:proofErr w:type="spellEnd"/>
      <w:r w:rsidRPr="00962853" w:rsidR="000410BB">
        <w:rPr>
          <w:rFonts w:cstheme="minorHAnsi"/>
          <w:bCs/>
          <w:sz w:val="22"/>
          <w:szCs w:val="22"/>
        </w:rPr>
        <w:t xml:space="preserve"> </w:t>
      </w:r>
      <w:r w:rsidR="0042470B">
        <w:rPr>
          <w:rFonts w:cstheme="minorHAnsi"/>
          <w:bCs/>
          <w:sz w:val="22"/>
          <w:szCs w:val="22"/>
        </w:rPr>
        <w:t xml:space="preserve">sera </w:t>
      </w:r>
      <w:proofErr w:type="spellStart"/>
      <w:r w:rsidR="0042470B">
        <w:rPr>
          <w:rFonts w:cstheme="minorHAnsi"/>
          <w:bCs/>
          <w:sz w:val="22"/>
          <w:szCs w:val="22"/>
        </w:rPr>
        <w:t>suivi</w:t>
      </w:r>
      <w:proofErr w:type="spellEnd"/>
      <w:r w:rsidR="0042470B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 w:rsidR="000410BB">
        <w:rPr>
          <w:rFonts w:cstheme="minorHAnsi"/>
          <w:bCs/>
          <w:sz w:val="22"/>
          <w:szCs w:val="22"/>
        </w:rPr>
        <w:t>en</w:t>
      </w:r>
      <w:proofErr w:type="spellEnd"/>
      <w:r w:rsidRPr="00962853" w:rsidR="000410BB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 w:rsidR="000410BB">
        <w:rPr>
          <w:rFonts w:cstheme="minorHAnsi"/>
          <w:bCs/>
          <w:sz w:val="22"/>
          <w:szCs w:val="22"/>
        </w:rPr>
        <w:t>termes</w:t>
      </w:r>
      <w:proofErr w:type="spellEnd"/>
      <w:r w:rsidRPr="00962853" w:rsidR="000410BB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962853" w:rsidR="000410BB">
        <w:rPr>
          <w:rFonts w:cstheme="minorHAnsi"/>
          <w:bCs/>
          <w:sz w:val="22"/>
          <w:szCs w:val="22"/>
        </w:rPr>
        <w:t>développement</w:t>
      </w:r>
      <w:proofErr w:type="spellEnd"/>
      <w:r w:rsidRPr="00962853" w:rsidR="000410BB">
        <w:rPr>
          <w:rFonts w:cstheme="minorHAnsi"/>
          <w:bCs/>
          <w:sz w:val="22"/>
          <w:szCs w:val="22"/>
        </w:rPr>
        <w:t xml:space="preserve"> de matériel, de diffusion et de </w:t>
      </w:r>
      <w:r w:rsidR="00CF5BB1">
        <w:rPr>
          <w:rFonts w:cstheme="minorHAnsi"/>
          <w:bCs/>
          <w:sz w:val="22"/>
          <w:szCs w:val="22"/>
        </w:rPr>
        <w:t xml:space="preserve">formation au </w:t>
      </w:r>
      <w:proofErr w:type="spellStart"/>
      <w:r w:rsidR="00CF5BB1">
        <w:rPr>
          <w:rFonts w:cstheme="minorHAnsi"/>
          <w:bCs/>
          <w:sz w:val="22"/>
          <w:szCs w:val="22"/>
        </w:rPr>
        <w:t>niveau</w:t>
      </w:r>
      <w:proofErr w:type="spellEnd"/>
      <w:r w:rsidR="00CF5BB1">
        <w:rPr>
          <w:rFonts w:cstheme="minorHAnsi"/>
          <w:bCs/>
          <w:sz w:val="22"/>
          <w:szCs w:val="22"/>
        </w:rPr>
        <w:t xml:space="preserve"> </w:t>
      </w:r>
      <w:r w:rsidRPr="00962853" w:rsidR="000410BB">
        <w:rPr>
          <w:rFonts w:cstheme="minorHAnsi"/>
          <w:bCs/>
          <w:sz w:val="22"/>
          <w:szCs w:val="22"/>
        </w:rPr>
        <w:t xml:space="preserve">national. </w:t>
      </w:r>
      <w:r w:rsidRPr="00962853">
        <w:rPr>
          <w:rFonts w:cstheme="minorHAnsi"/>
          <w:bCs/>
          <w:sz w:val="22"/>
          <w:szCs w:val="22"/>
        </w:rPr>
        <w:t xml:space="preserve">Les IP </w:t>
      </w:r>
      <w:proofErr w:type="spellStart"/>
      <w:r w:rsidRPr="00962853">
        <w:rPr>
          <w:rFonts w:cstheme="minorHAnsi"/>
          <w:bCs/>
          <w:sz w:val="22"/>
          <w:szCs w:val="22"/>
        </w:rPr>
        <w:t>devront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s'assurer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que </w:t>
      </w:r>
      <w:proofErr w:type="spellStart"/>
      <w:r w:rsidRPr="00962853">
        <w:rPr>
          <w:rFonts w:cstheme="minorHAnsi"/>
          <w:bCs/>
          <w:sz w:val="22"/>
          <w:szCs w:val="22"/>
        </w:rPr>
        <w:t>leurs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installations </w:t>
      </w:r>
      <w:proofErr w:type="spellStart"/>
      <w:r w:rsidRPr="00962853">
        <w:rPr>
          <w:rFonts w:cstheme="minorHAnsi"/>
          <w:bCs/>
          <w:sz w:val="22"/>
          <w:szCs w:val="22"/>
        </w:rPr>
        <w:t>reçoivent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l'</w:t>
      </w:r>
      <w:r w:rsidRPr="00962853" w:rsidR="000410BB">
        <w:rPr>
          <w:rFonts w:cstheme="minorHAnsi"/>
          <w:bCs/>
          <w:sz w:val="22"/>
          <w:szCs w:val="22"/>
        </w:rPr>
        <w:t>orientation</w:t>
      </w:r>
      <w:proofErr w:type="spellEnd"/>
      <w:r w:rsidRPr="00962853" w:rsidR="000410BB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appropriée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du </w:t>
      </w:r>
      <w:r w:rsidR="00151FEE">
        <w:rPr>
          <w:rFonts w:cstheme="minorHAnsi"/>
          <w:bCs/>
          <w:sz w:val="22"/>
          <w:szCs w:val="22"/>
        </w:rPr>
        <w:t xml:space="preserve">GTPD </w:t>
      </w:r>
      <w:proofErr w:type="spellStart"/>
      <w:r w:rsidRPr="00962853">
        <w:rPr>
          <w:rFonts w:cstheme="minorHAnsi"/>
          <w:bCs/>
          <w:sz w:val="22"/>
          <w:szCs w:val="22"/>
        </w:rPr>
        <w:t>avant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r w:rsidRPr="00B31DB1" w:rsidR="00151FEE">
        <w:rPr>
          <w:rFonts w:cstheme="minorHAnsi"/>
          <w:bCs/>
          <w:sz w:val="22"/>
          <w:szCs w:val="22"/>
          <w:highlight w:val="yellow"/>
        </w:rPr>
        <w:t xml:space="preserve">XX 2021 </w:t>
      </w:r>
      <w:proofErr w:type="spellStart"/>
      <w:r w:rsidRPr="00962853" w:rsidR="000410BB">
        <w:rPr>
          <w:rFonts w:cstheme="minorHAnsi"/>
          <w:bCs/>
          <w:sz w:val="22"/>
          <w:szCs w:val="22"/>
        </w:rPr>
        <w:t>afin</w:t>
      </w:r>
      <w:proofErr w:type="spellEnd"/>
      <w:r w:rsidRPr="00962853" w:rsidR="000410BB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962853" w:rsidR="000410BB">
        <w:rPr>
          <w:rFonts w:cstheme="minorHAnsi"/>
          <w:bCs/>
          <w:sz w:val="22"/>
          <w:szCs w:val="22"/>
        </w:rPr>
        <w:t>garantir</w:t>
      </w:r>
      <w:proofErr w:type="spellEnd"/>
      <w:r w:rsidRPr="00962853" w:rsidR="000410BB">
        <w:rPr>
          <w:rFonts w:cstheme="minorHAnsi"/>
          <w:bCs/>
          <w:sz w:val="22"/>
          <w:szCs w:val="22"/>
        </w:rPr>
        <w:t xml:space="preserve"> un </w:t>
      </w:r>
      <w:proofErr w:type="spellStart"/>
      <w:r w:rsidRPr="00962853" w:rsidR="000410BB">
        <w:rPr>
          <w:rFonts w:cstheme="minorHAnsi"/>
          <w:bCs/>
          <w:sz w:val="22"/>
          <w:szCs w:val="22"/>
        </w:rPr>
        <w:t>déploiement</w:t>
      </w:r>
      <w:proofErr w:type="spellEnd"/>
      <w:r w:rsidRPr="00962853" w:rsidR="000410BB">
        <w:rPr>
          <w:rFonts w:cstheme="minorHAnsi"/>
          <w:bCs/>
          <w:sz w:val="22"/>
          <w:szCs w:val="22"/>
        </w:rPr>
        <w:t xml:space="preserve"> sans </w:t>
      </w:r>
      <w:proofErr w:type="spellStart"/>
      <w:r w:rsidRPr="00962853" w:rsidR="000410BB">
        <w:rPr>
          <w:rFonts w:cstheme="minorHAnsi"/>
          <w:bCs/>
          <w:sz w:val="22"/>
          <w:szCs w:val="22"/>
        </w:rPr>
        <w:t>heurts</w:t>
      </w:r>
      <w:proofErr w:type="spellEnd"/>
      <w:r w:rsidRPr="00962853" w:rsidR="000410BB">
        <w:rPr>
          <w:rFonts w:cstheme="minorHAnsi"/>
          <w:bCs/>
          <w:sz w:val="22"/>
          <w:szCs w:val="22"/>
        </w:rPr>
        <w:t xml:space="preserve">. </w:t>
      </w:r>
    </w:p>
    <w:p w:rsidRPr="00962853" w:rsidR="00C276F5" w:rsidP="00370DC1" w:rsidRDefault="002D6A8B" w14:paraId="68DAAF14" w14:textId="5D03D91B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  <w:r w:rsidRPr="002D6A8B">
        <w:rPr>
          <w:noProof/>
        </w:rPr>
        <w:lastRenderedPageBreak/>
        <w:t xml:space="preserve"> </w:t>
      </w:r>
      <w:r w:rsidRPr="002162B7" w:rsidR="002162B7">
        <w:rPr>
          <w:noProof/>
        </w:rPr>
        <w:drawing>
          <wp:inline distT="0" distB="0" distL="0" distR="0" wp14:anchorId="77ACC968" wp14:editId="133D9FCF">
            <wp:extent cx="5943600" cy="40208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2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62853" w:rsidR="00027A16" w:rsidP="00370DC1" w:rsidRDefault="00027A16" w14:paraId="6218F3D2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Pr="009323E0" w:rsidR="00C7575C" w:rsidP="00370DC1" w:rsidRDefault="009323E0" w14:paraId="724EB3BA" w14:textId="679B8AA9">
      <w:pPr>
        <w:pStyle w:val="EndnoteText"/>
        <w:spacing w:line="276" w:lineRule="auto"/>
        <w:jc w:val="both"/>
        <w:rPr>
          <w:rFonts w:cstheme="minorHAnsi"/>
          <w:bCs/>
          <w:i/>
          <w:iCs/>
          <w:sz w:val="22"/>
          <w:szCs w:val="22"/>
        </w:rPr>
      </w:pPr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[</w:t>
      </w:r>
      <w:proofErr w:type="spellStart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éventuellement</w:t>
      </w:r>
      <w:proofErr w:type="spellEnd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énumérer</w:t>
      </w:r>
      <w:proofErr w:type="spellEnd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 xml:space="preserve"> les sites qui </w:t>
      </w:r>
      <w:proofErr w:type="spellStart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seront</w:t>
      </w:r>
      <w:proofErr w:type="spellEnd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prioritaires</w:t>
      </w:r>
      <w:proofErr w:type="spellEnd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 xml:space="preserve"> pour la formation </w:t>
      </w:r>
      <w:proofErr w:type="spellStart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selon</w:t>
      </w:r>
      <w:proofErr w:type="spellEnd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 xml:space="preserve"> le plan de transition]</w:t>
      </w:r>
    </w:p>
    <w:p w:rsidRPr="00962853" w:rsidR="005519CF" w:rsidP="00370DC1" w:rsidRDefault="005519CF" w14:paraId="5051CAC0" w14:textId="77777777">
      <w:pPr>
        <w:pStyle w:val="EndnoteText"/>
        <w:spacing w:line="276" w:lineRule="auto"/>
        <w:jc w:val="both"/>
        <w:rPr>
          <w:rFonts w:cstheme="minorHAnsi"/>
          <w:sz w:val="22"/>
          <w:szCs w:val="22"/>
        </w:rPr>
      </w:pPr>
    </w:p>
    <w:p w:rsidRPr="00962853" w:rsidR="005519CF" w:rsidP="00370DC1" w:rsidRDefault="005519CF" w14:paraId="6CDBFC0B" w14:textId="37E5105C">
      <w:pPr>
        <w:pStyle w:val="Heading2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 w:rsidRPr="00962853">
        <w:rPr>
          <w:rFonts w:asciiTheme="minorHAnsi" w:hAnsiTheme="minorHAnsi" w:cstheme="minorHAnsi"/>
        </w:rPr>
        <w:t xml:space="preserve">Mode de </w:t>
      </w:r>
      <w:r w:rsidR="005967DF">
        <w:rPr>
          <w:rFonts w:asciiTheme="minorHAnsi" w:hAnsiTheme="minorHAnsi" w:cstheme="minorHAnsi"/>
        </w:rPr>
        <w:t>formation</w:t>
      </w:r>
    </w:p>
    <w:p w:rsidRPr="00A97DB5" w:rsidR="00A97DB5" w:rsidP="00370DC1" w:rsidRDefault="00A97DB5" w14:paraId="696EFF47" w14:textId="2FC58E3B">
      <w:pPr>
        <w:pStyle w:val="EndnoteText"/>
        <w:spacing w:line="276" w:lineRule="auto"/>
        <w:jc w:val="both"/>
        <w:rPr>
          <w:rFonts w:cstheme="minorHAnsi"/>
          <w:bCs/>
          <w:i/>
          <w:iCs/>
          <w:sz w:val="22"/>
          <w:szCs w:val="22"/>
        </w:rPr>
      </w:pPr>
      <w:r w:rsidRPr="004B274E">
        <w:rPr>
          <w:rFonts w:cstheme="minorHAnsi"/>
          <w:bCs/>
          <w:i/>
          <w:iCs/>
          <w:sz w:val="22"/>
          <w:szCs w:val="22"/>
          <w:highlight w:val="yellow"/>
        </w:rPr>
        <w:t xml:space="preserve">[modifier le </w:t>
      </w:r>
      <w:proofErr w:type="spellStart"/>
      <w:r w:rsidRPr="004B274E">
        <w:rPr>
          <w:rFonts w:cstheme="minorHAnsi"/>
          <w:bCs/>
          <w:i/>
          <w:iCs/>
          <w:sz w:val="22"/>
          <w:szCs w:val="22"/>
          <w:highlight w:val="yellow"/>
        </w:rPr>
        <w:t>texte</w:t>
      </w:r>
      <w:proofErr w:type="spellEnd"/>
      <w:r w:rsidRPr="004B274E">
        <w:rPr>
          <w:rFonts w:cstheme="minorHAnsi"/>
          <w:bCs/>
          <w:i/>
          <w:iCs/>
          <w:sz w:val="22"/>
          <w:szCs w:val="22"/>
          <w:highlight w:val="yellow"/>
        </w:rPr>
        <w:t xml:space="preserve"> ci-dessous, </w:t>
      </w:r>
      <w:proofErr w:type="spellStart"/>
      <w:r w:rsidRPr="004B274E">
        <w:rPr>
          <w:rFonts w:cstheme="minorHAnsi"/>
          <w:bCs/>
          <w:i/>
          <w:iCs/>
          <w:sz w:val="22"/>
          <w:szCs w:val="22"/>
          <w:highlight w:val="yellow"/>
        </w:rPr>
        <w:t>en</w:t>
      </w:r>
      <w:proofErr w:type="spellEnd"/>
      <w:r w:rsidRPr="004B274E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4B274E">
        <w:rPr>
          <w:rFonts w:cstheme="minorHAnsi"/>
          <w:bCs/>
          <w:i/>
          <w:iCs/>
          <w:sz w:val="22"/>
          <w:szCs w:val="22"/>
          <w:highlight w:val="yellow"/>
        </w:rPr>
        <w:t>fonction</w:t>
      </w:r>
      <w:proofErr w:type="spellEnd"/>
      <w:r w:rsidRPr="004B274E">
        <w:rPr>
          <w:rFonts w:cstheme="minorHAnsi"/>
          <w:bCs/>
          <w:i/>
          <w:iCs/>
          <w:sz w:val="22"/>
          <w:szCs w:val="22"/>
          <w:highlight w:val="yellow"/>
        </w:rPr>
        <w:t xml:space="preserve"> du </w:t>
      </w:r>
      <w:proofErr w:type="spellStart"/>
      <w:r w:rsidRPr="004B274E">
        <w:rPr>
          <w:rFonts w:cstheme="minorHAnsi"/>
          <w:bCs/>
          <w:i/>
          <w:iCs/>
          <w:sz w:val="22"/>
          <w:szCs w:val="22"/>
          <w:highlight w:val="yellow"/>
        </w:rPr>
        <w:t>contexte</w:t>
      </w:r>
      <w:proofErr w:type="spellEnd"/>
      <w:r w:rsidRPr="004B274E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r w:rsidR="006819B5">
        <w:rPr>
          <w:rFonts w:cstheme="minorHAnsi"/>
          <w:bCs/>
          <w:i/>
          <w:iCs/>
          <w:sz w:val="22"/>
          <w:szCs w:val="22"/>
          <w:highlight w:val="yellow"/>
        </w:rPr>
        <w:t xml:space="preserve">; doit </w:t>
      </w:r>
      <w:proofErr w:type="spellStart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>inclure</w:t>
      </w:r>
      <w:proofErr w:type="spellEnd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 xml:space="preserve"> le format des formations (formation au </w:t>
      </w:r>
      <w:proofErr w:type="spellStart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>niveau</w:t>
      </w:r>
      <w:proofErr w:type="spellEnd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 xml:space="preserve"> central </w:t>
      </w:r>
      <w:proofErr w:type="spellStart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>suivie</w:t>
      </w:r>
      <w:proofErr w:type="spellEnd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 xml:space="preserve"> par </w:t>
      </w:r>
      <w:proofErr w:type="spellStart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>une</w:t>
      </w:r>
      <w:proofErr w:type="spellEnd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 xml:space="preserve"> formation au </w:t>
      </w:r>
      <w:proofErr w:type="spellStart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>niveau</w:t>
      </w:r>
      <w:proofErr w:type="spellEnd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 xml:space="preserve"> des installations, etc.), les participants, les </w:t>
      </w:r>
      <w:proofErr w:type="spellStart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>détails</w:t>
      </w:r>
      <w:proofErr w:type="spellEnd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 xml:space="preserve"> sur les </w:t>
      </w:r>
      <w:proofErr w:type="spellStart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>formateurs</w:t>
      </w:r>
      <w:proofErr w:type="spellEnd"/>
      <w:r w:rsidR="006819B5">
        <w:rPr>
          <w:rFonts w:cstheme="minorHAnsi"/>
          <w:bCs/>
          <w:i/>
          <w:iCs/>
          <w:sz w:val="22"/>
          <w:szCs w:val="22"/>
          <w:highlight w:val="yellow"/>
        </w:rPr>
        <w:t xml:space="preserve">, les </w:t>
      </w:r>
      <w:proofErr w:type="spellStart"/>
      <w:r w:rsidR="0078468E">
        <w:rPr>
          <w:rFonts w:cstheme="minorHAnsi"/>
          <w:bCs/>
          <w:i/>
          <w:iCs/>
          <w:sz w:val="22"/>
          <w:szCs w:val="22"/>
          <w:highlight w:val="yellow"/>
        </w:rPr>
        <w:t>considérations</w:t>
      </w:r>
      <w:proofErr w:type="spellEnd"/>
      <w:r w:rsidR="0078468E">
        <w:rPr>
          <w:rFonts w:cstheme="minorHAnsi"/>
          <w:bCs/>
          <w:i/>
          <w:iCs/>
          <w:sz w:val="22"/>
          <w:szCs w:val="22"/>
          <w:highlight w:val="yellow"/>
        </w:rPr>
        <w:t xml:space="preserve"> COVID-19</w:t>
      </w:r>
      <w:r w:rsidRPr="004B274E">
        <w:rPr>
          <w:rFonts w:cstheme="minorHAnsi"/>
          <w:bCs/>
          <w:i/>
          <w:iCs/>
          <w:sz w:val="22"/>
          <w:szCs w:val="22"/>
          <w:highlight w:val="yellow"/>
        </w:rPr>
        <w:t>]</w:t>
      </w:r>
    </w:p>
    <w:p w:rsidRPr="00962853" w:rsidR="00DD37A1" w:rsidP="00370DC1" w:rsidRDefault="00DD37A1" w14:paraId="4E611919" w14:textId="2DE51614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L'</w:t>
      </w:r>
      <w:r w:rsidRPr="006819B5" w:rsidR="000410BB">
        <w:rPr>
          <w:rFonts w:cstheme="minorHAnsi"/>
          <w:bCs/>
          <w:sz w:val="22"/>
          <w:szCs w:val="22"/>
          <w:highlight w:val="yellow"/>
        </w:rPr>
        <w:t>orientation</w:t>
      </w:r>
      <w:proofErr w:type="spellEnd"/>
      <w:r w:rsidRPr="006819B5" w:rsidR="000410BB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initiale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se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fera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lors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d'une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</w:t>
      </w:r>
      <w:r w:rsidRPr="006819B5" w:rsidR="004B274E">
        <w:rPr>
          <w:rFonts w:cstheme="minorHAnsi"/>
          <w:bCs/>
          <w:sz w:val="22"/>
          <w:szCs w:val="22"/>
          <w:highlight w:val="yellow"/>
        </w:rPr>
        <w:t xml:space="preserve">formation </w:t>
      </w:r>
      <w:r w:rsidRPr="006819B5">
        <w:rPr>
          <w:rFonts w:cstheme="minorHAnsi"/>
          <w:bCs/>
          <w:sz w:val="22"/>
          <w:szCs w:val="22"/>
          <w:highlight w:val="yellow"/>
        </w:rPr>
        <w:t xml:space="preserve">centrale </w:t>
      </w:r>
      <w:r w:rsidRPr="006819B5" w:rsidR="008211E0">
        <w:rPr>
          <w:rFonts w:cstheme="minorHAnsi"/>
          <w:bCs/>
          <w:sz w:val="22"/>
          <w:szCs w:val="22"/>
          <w:highlight w:val="yellow"/>
        </w:rPr>
        <w:t xml:space="preserve">pour les IP qui </w:t>
      </w:r>
      <w:proofErr w:type="spellStart"/>
      <w:r w:rsidRPr="006819B5" w:rsidR="008211E0">
        <w:rPr>
          <w:rFonts w:cstheme="minorHAnsi"/>
          <w:bCs/>
          <w:sz w:val="22"/>
          <w:szCs w:val="22"/>
          <w:highlight w:val="yellow"/>
        </w:rPr>
        <w:t>impliquera</w:t>
      </w:r>
      <w:proofErr w:type="spellEnd"/>
      <w:r w:rsidRPr="006819B5" w:rsidR="008211E0">
        <w:rPr>
          <w:rFonts w:cstheme="minorHAnsi"/>
          <w:bCs/>
          <w:sz w:val="22"/>
          <w:szCs w:val="22"/>
          <w:highlight w:val="yellow"/>
        </w:rPr>
        <w:t xml:space="preserve"> le personnel </w:t>
      </w:r>
      <w:r w:rsidRPr="006819B5" w:rsidR="00A97DB5">
        <w:rPr>
          <w:rFonts w:cstheme="minorHAnsi"/>
          <w:bCs/>
          <w:sz w:val="22"/>
          <w:szCs w:val="22"/>
          <w:highlight w:val="yellow"/>
        </w:rPr>
        <w:t xml:space="preserve">X-Y </w:t>
      </w:r>
      <w:r w:rsidRPr="003B4754" w:rsidR="004A661F">
        <w:rPr>
          <w:rFonts w:cstheme="minorHAnsi"/>
          <w:bCs/>
          <w:i/>
          <w:iCs/>
          <w:sz w:val="22"/>
          <w:szCs w:val="22"/>
          <w:highlight w:val="yellow"/>
        </w:rPr>
        <w:t>[</w:t>
      </w:r>
      <w:proofErr w:type="spellStart"/>
      <w:r w:rsidRPr="003B4754" w:rsidR="004A661F">
        <w:rPr>
          <w:rFonts w:cstheme="minorHAnsi"/>
          <w:bCs/>
          <w:i/>
          <w:iCs/>
          <w:sz w:val="22"/>
          <w:szCs w:val="22"/>
          <w:highlight w:val="yellow"/>
        </w:rPr>
        <w:t>insérer</w:t>
      </w:r>
      <w:proofErr w:type="spellEnd"/>
      <w:r w:rsidRPr="003B4754" w:rsidR="004A661F">
        <w:rPr>
          <w:rFonts w:cstheme="minorHAnsi"/>
          <w:bCs/>
          <w:i/>
          <w:iCs/>
          <w:sz w:val="22"/>
          <w:szCs w:val="22"/>
          <w:highlight w:val="yellow"/>
        </w:rPr>
        <w:t xml:space="preserve"> les </w:t>
      </w:r>
      <w:proofErr w:type="spellStart"/>
      <w:r w:rsidRPr="003B4754" w:rsidR="004A661F">
        <w:rPr>
          <w:rFonts w:cstheme="minorHAnsi"/>
          <w:bCs/>
          <w:i/>
          <w:iCs/>
          <w:sz w:val="22"/>
          <w:szCs w:val="22"/>
          <w:highlight w:val="yellow"/>
        </w:rPr>
        <w:t>responsables</w:t>
      </w:r>
      <w:proofErr w:type="spellEnd"/>
      <w:r w:rsidRPr="003B4754" w:rsidR="004A661F">
        <w:rPr>
          <w:rFonts w:cstheme="minorHAnsi"/>
          <w:bCs/>
          <w:i/>
          <w:iCs/>
          <w:sz w:val="22"/>
          <w:szCs w:val="22"/>
          <w:highlight w:val="yellow"/>
        </w:rPr>
        <w:t xml:space="preserve"> de la formation et les participants </w:t>
      </w:r>
      <w:proofErr w:type="spellStart"/>
      <w:r w:rsidRPr="003B4754" w:rsidR="004A661F">
        <w:rPr>
          <w:rFonts w:cstheme="minorHAnsi"/>
          <w:bCs/>
          <w:i/>
          <w:iCs/>
          <w:sz w:val="22"/>
          <w:szCs w:val="22"/>
          <w:highlight w:val="yellow"/>
        </w:rPr>
        <w:t>prévus</w:t>
      </w:r>
      <w:proofErr w:type="spellEnd"/>
      <w:r w:rsidRPr="003B4754" w:rsidR="004A661F">
        <w:rPr>
          <w:rFonts w:cstheme="minorHAnsi"/>
          <w:bCs/>
          <w:i/>
          <w:iCs/>
          <w:sz w:val="22"/>
          <w:szCs w:val="22"/>
          <w:highlight w:val="yellow"/>
        </w:rPr>
        <w:t xml:space="preserve">] </w:t>
      </w:r>
      <w:r w:rsidRPr="006819B5" w:rsidR="008211E0">
        <w:rPr>
          <w:rFonts w:cstheme="minorHAnsi"/>
          <w:bCs/>
          <w:sz w:val="22"/>
          <w:szCs w:val="22"/>
          <w:highlight w:val="yellow"/>
        </w:rPr>
        <w:t xml:space="preserve">de </w:t>
      </w:r>
      <w:proofErr w:type="spellStart"/>
      <w:r w:rsidRPr="006819B5" w:rsidR="008211E0">
        <w:rPr>
          <w:rFonts w:cstheme="minorHAnsi"/>
          <w:bCs/>
          <w:sz w:val="22"/>
          <w:szCs w:val="22"/>
          <w:highlight w:val="yellow"/>
        </w:rPr>
        <w:t>chaque</w:t>
      </w:r>
      <w:proofErr w:type="spellEnd"/>
      <w:r w:rsidRPr="006819B5" w:rsidR="008211E0">
        <w:rPr>
          <w:rFonts w:cstheme="minorHAnsi"/>
          <w:bCs/>
          <w:sz w:val="22"/>
          <w:szCs w:val="22"/>
          <w:highlight w:val="yellow"/>
        </w:rPr>
        <w:t xml:space="preserve"> IP </w:t>
      </w:r>
      <w:proofErr w:type="spellStart"/>
      <w:r w:rsidRPr="006819B5" w:rsidR="008211E0">
        <w:rPr>
          <w:rFonts w:cstheme="minorHAnsi"/>
          <w:bCs/>
          <w:sz w:val="22"/>
          <w:szCs w:val="22"/>
          <w:highlight w:val="yellow"/>
        </w:rPr>
        <w:t>en</w:t>
      </w:r>
      <w:proofErr w:type="spellEnd"/>
      <w:r w:rsidRPr="006819B5" w:rsidR="008211E0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6819B5" w:rsidR="008211E0">
        <w:rPr>
          <w:rFonts w:cstheme="minorHAnsi"/>
          <w:bCs/>
          <w:sz w:val="22"/>
          <w:szCs w:val="22"/>
          <w:highlight w:val="yellow"/>
        </w:rPr>
        <w:t>fonction</w:t>
      </w:r>
      <w:proofErr w:type="spellEnd"/>
      <w:r w:rsidRPr="006819B5" w:rsidR="008211E0">
        <w:rPr>
          <w:rFonts w:cstheme="minorHAnsi"/>
          <w:bCs/>
          <w:sz w:val="22"/>
          <w:szCs w:val="22"/>
          <w:highlight w:val="yellow"/>
        </w:rPr>
        <w:t xml:space="preserve"> de la taille de </w:t>
      </w:r>
      <w:proofErr w:type="spellStart"/>
      <w:r w:rsidRPr="006819B5" w:rsidR="008211E0">
        <w:rPr>
          <w:rFonts w:cstheme="minorHAnsi"/>
          <w:bCs/>
          <w:sz w:val="22"/>
          <w:szCs w:val="22"/>
          <w:highlight w:val="yellow"/>
        </w:rPr>
        <w:t>l'IP</w:t>
      </w:r>
      <w:proofErr w:type="spellEnd"/>
      <w:r w:rsidRPr="006819B5" w:rsidR="008211E0">
        <w:rPr>
          <w:rFonts w:cstheme="minorHAnsi"/>
          <w:bCs/>
          <w:sz w:val="22"/>
          <w:szCs w:val="22"/>
          <w:highlight w:val="yellow"/>
        </w:rPr>
        <w:t xml:space="preserve"> et du </w:t>
      </w:r>
      <w:proofErr w:type="spellStart"/>
      <w:r w:rsidRPr="006819B5" w:rsidR="008211E0">
        <w:rPr>
          <w:rFonts w:cstheme="minorHAnsi"/>
          <w:bCs/>
          <w:sz w:val="22"/>
          <w:szCs w:val="22"/>
          <w:highlight w:val="yellow"/>
        </w:rPr>
        <w:t>nombre</w:t>
      </w:r>
      <w:proofErr w:type="spellEnd"/>
      <w:r w:rsidRPr="006819B5" w:rsidR="008211E0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6819B5" w:rsidR="008211E0">
        <w:rPr>
          <w:rFonts w:cstheme="minorHAnsi"/>
          <w:bCs/>
          <w:sz w:val="22"/>
          <w:szCs w:val="22"/>
          <w:highlight w:val="yellow"/>
        </w:rPr>
        <w:t>d'installations</w:t>
      </w:r>
      <w:proofErr w:type="spellEnd"/>
      <w:r w:rsidRPr="006819B5" w:rsidR="008211E0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6819B5" w:rsidR="008211E0">
        <w:rPr>
          <w:rFonts w:cstheme="minorHAnsi"/>
          <w:bCs/>
          <w:sz w:val="22"/>
          <w:szCs w:val="22"/>
          <w:highlight w:val="yellow"/>
        </w:rPr>
        <w:t>soutenues</w:t>
      </w:r>
      <w:proofErr w:type="spellEnd"/>
      <w:r w:rsidRPr="006819B5" w:rsidR="008211E0">
        <w:rPr>
          <w:rFonts w:cstheme="minorHAnsi"/>
          <w:bCs/>
          <w:sz w:val="22"/>
          <w:szCs w:val="22"/>
          <w:highlight w:val="yellow"/>
        </w:rPr>
        <w:t xml:space="preserve">. </w:t>
      </w:r>
      <w:r w:rsidRPr="006819B5">
        <w:rPr>
          <w:rFonts w:cstheme="minorHAnsi"/>
          <w:bCs/>
          <w:sz w:val="22"/>
          <w:szCs w:val="22"/>
          <w:highlight w:val="yellow"/>
        </w:rPr>
        <w:t xml:space="preserve">Les </w:t>
      </w:r>
      <w:r w:rsidRPr="006819B5" w:rsidR="000410BB">
        <w:rPr>
          <w:rFonts w:cstheme="minorHAnsi"/>
          <w:bCs/>
          <w:sz w:val="22"/>
          <w:szCs w:val="22"/>
          <w:highlight w:val="yellow"/>
        </w:rPr>
        <w:t xml:space="preserve">orientations au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niveau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central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seront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menées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par le personnel du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ministère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de la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santé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avec le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soutien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de la CHAI.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Chaque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IP sera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ensuite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chargé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d'</w:t>
      </w:r>
      <w:r w:rsidRPr="006819B5" w:rsidR="000410BB">
        <w:rPr>
          <w:rFonts w:cstheme="minorHAnsi"/>
          <w:bCs/>
          <w:sz w:val="22"/>
          <w:szCs w:val="22"/>
          <w:highlight w:val="yellow"/>
        </w:rPr>
        <w:t>orienter</w:t>
      </w:r>
      <w:proofErr w:type="spellEnd"/>
      <w:r w:rsidRPr="006819B5" w:rsidR="000410BB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6819B5" w:rsidR="000410BB">
        <w:rPr>
          <w:rFonts w:cstheme="minorHAnsi"/>
          <w:bCs/>
          <w:sz w:val="22"/>
          <w:szCs w:val="22"/>
          <w:highlight w:val="yellow"/>
        </w:rPr>
        <w:t>ses</w:t>
      </w:r>
      <w:proofErr w:type="spellEnd"/>
      <w:r w:rsidRPr="006819B5" w:rsidR="000410BB">
        <w:rPr>
          <w:rFonts w:cstheme="minorHAnsi"/>
          <w:bCs/>
          <w:sz w:val="22"/>
          <w:szCs w:val="22"/>
          <w:highlight w:val="yellow"/>
        </w:rPr>
        <w:t xml:space="preserve"> </w:t>
      </w:r>
      <w:r w:rsidRPr="006819B5">
        <w:rPr>
          <w:rFonts w:cstheme="minorHAnsi"/>
          <w:bCs/>
          <w:sz w:val="22"/>
          <w:szCs w:val="22"/>
          <w:highlight w:val="yellow"/>
        </w:rPr>
        <w:t xml:space="preserve">sites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respectifs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et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d'assurer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un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encadrement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approprié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pour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soutenir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la </w:t>
      </w:r>
      <w:proofErr w:type="spellStart"/>
      <w:r w:rsidRPr="006819B5">
        <w:rPr>
          <w:rFonts w:cstheme="minorHAnsi"/>
          <w:bCs/>
          <w:i/>
          <w:iCs/>
          <w:sz w:val="22"/>
          <w:szCs w:val="22"/>
          <w:highlight w:val="yellow"/>
        </w:rPr>
        <w:t>circulaire</w:t>
      </w:r>
      <w:proofErr w:type="spellEnd"/>
      <w:r w:rsidRPr="006819B5">
        <w:rPr>
          <w:rFonts w:cstheme="minorHAnsi"/>
          <w:bCs/>
          <w:i/>
          <w:iCs/>
          <w:sz w:val="22"/>
          <w:szCs w:val="22"/>
          <w:highlight w:val="yellow"/>
        </w:rPr>
        <w:t xml:space="preserve"> des directives </w:t>
      </w:r>
      <w:r w:rsidRPr="006819B5">
        <w:rPr>
          <w:rFonts w:cstheme="minorHAnsi"/>
          <w:bCs/>
          <w:sz w:val="22"/>
          <w:szCs w:val="22"/>
          <w:highlight w:val="yellow"/>
        </w:rPr>
        <w:t xml:space="preserve">qui sera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publiée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. Les </w:t>
      </w:r>
      <w:r w:rsidRPr="006819B5" w:rsidR="000410BB">
        <w:rPr>
          <w:rFonts w:cstheme="minorHAnsi"/>
          <w:bCs/>
          <w:sz w:val="22"/>
          <w:szCs w:val="22"/>
          <w:highlight w:val="yellow"/>
        </w:rPr>
        <w:t xml:space="preserve">orientations au </w:t>
      </w:r>
      <w:proofErr w:type="spellStart"/>
      <w:r w:rsidRPr="006819B5" w:rsidR="000410BB">
        <w:rPr>
          <w:rFonts w:cstheme="minorHAnsi"/>
          <w:bCs/>
          <w:sz w:val="22"/>
          <w:szCs w:val="22"/>
          <w:highlight w:val="yellow"/>
        </w:rPr>
        <w:t>niveau</w:t>
      </w:r>
      <w:proofErr w:type="spellEnd"/>
      <w:r w:rsidRPr="006819B5" w:rsidR="000410BB">
        <w:rPr>
          <w:rFonts w:cstheme="minorHAnsi"/>
          <w:bCs/>
          <w:sz w:val="22"/>
          <w:szCs w:val="22"/>
          <w:highlight w:val="yellow"/>
        </w:rPr>
        <w:t xml:space="preserve"> des </w:t>
      </w:r>
      <w:proofErr w:type="spellStart"/>
      <w:r w:rsidRPr="006819B5" w:rsidR="000410BB">
        <w:rPr>
          <w:rFonts w:cstheme="minorHAnsi"/>
          <w:bCs/>
          <w:sz w:val="22"/>
          <w:szCs w:val="22"/>
          <w:highlight w:val="yellow"/>
        </w:rPr>
        <w:t>établissements</w:t>
      </w:r>
      <w:proofErr w:type="spellEnd"/>
      <w:r w:rsidRPr="006819B5" w:rsidR="000410BB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seront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menées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par le personnel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formé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des IP et les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personnes-ressources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du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ministère</w:t>
      </w:r>
      <w:proofErr w:type="spellEnd"/>
      <w:r w:rsidRPr="006819B5">
        <w:rPr>
          <w:rFonts w:cstheme="minorHAnsi"/>
          <w:bCs/>
          <w:sz w:val="22"/>
          <w:szCs w:val="22"/>
          <w:highlight w:val="yellow"/>
        </w:rPr>
        <w:t xml:space="preserve"> de la </w:t>
      </w:r>
      <w:proofErr w:type="spellStart"/>
      <w:r w:rsidRPr="006819B5">
        <w:rPr>
          <w:rFonts w:cstheme="minorHAnsi"/>
          <w:bCs/>
          <w:sz w:val="22"/>
          <w:szCs w:val="22"/>
          <w:highlight w:val="yellow"/>
        </w:rPr>
        <w:t>santé</w:t>
      </w:r>
      <w:proofErr w:type="spellEnd"/>
      <w:r w:rsidRPr="0084062F">
        <w:rPr>
          <w:rFonts w:cstheme="minorHAnsi"/>
          <w:bCs/>
          <w:sz w:val="22"/>
          <w:szCs w:val="22"/>
          <w:highlight w:val="yellow"/>
        </w:rPr>
        <w:t>.</w:t>
      </w:r>
    </w:p>
    <w:p w:rsidR="00DD37A1" w:rsidP="00370DC1" w:rsidRDefault="00DD37A1" w14:paraId="7E0CAB85" w14:textId="7C488755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="0084062F" w:rsidP="00370DC1" w:rsidRDefault="0084062F" w14:paraId="1A289E85" w14:textId="0FFA01E2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  <w:r w:rsidRPr="0084062F">
        <w:rPr>
          <w:rFonts w:cstheme="minorHAnsi"/>
          <w:bCs/>
          <w:sz w:val="22"/>
          <w:szCs w:val="22"/>
          <w:highlight w:val="yellow"/>
        </w:rPr>
        <w:t xml:space="preserve">Bien que </w:t>
      </w:r>
      <w:proofErr w:type="spellStart"/>
      <w:r w:rsidRPr="0084062F">
        <w:rPr>
          <w:rFonts w:cstheme="minorHAnsi"/>
          <w:bCs/>
          <w:sz w:val="22"/>
          <w:szCs w:val="22"/>
          <w:highlight w:val="yellow"/>
        </w:rPr>
        <w:t>l'intention</w:t>
      </w:r>
      <w:proofErr w:type="spellEnd"/>
      <w:r w:rsidRPr="0084062F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84062F">
        <w:rPr>
          <w:rFonts w:cstheme="minorHAnsi"/>
          <w:bCs/>
          <w:sz w:val="22"/>
          <w:szCs w:val="22"/>
          <w:highlight w:val="yellow"/>
        </w:rPr>
        <w:t>soit</w:t>
      </w:r>
      <w:proofErr w:type="spellEnd"/>
      <w:r w:rsidRPr="0084062F">
        <w:rPr>
          <w:rFonts w:cstheme="minorHAnsi"/>
          <w:bCs/>
          <w:sz w:val="22"/>
          <w:szCs w:val="22"/>
          <w:highlight w:val="yellow"/>
        </w:rPr>
        <w:t xml:space="preserve"> de </w:t>
      </w:r>
      <w:proofErr w:type="spellStart"/>
      <w:r w:rsidRPr="0084062F">
        <w:rPr>
          <w:rFonts w:cstheme="minorHAnsi"/>
          <w:bCs/>
          <w:sz w:val="22"/>
          <w:szCs w:val="22"/>
          <w:highlight w:val="yellow"/>
        </w:rPr>
        <w:t>mener</w:t>
      </w:r>
      <w:proofErr w:type="spellEnd"/>
      <w:r w:rsidRPr="0084062F">
        <w:rPr>
          <w:rFonts w:cstheme="minorHAnsi"/>
          <w:bCs/>
          <w:sz w:val="22"/>
          <w:szCs w:val="22"/>
          <w:highlight w:val="yellow"/>
        </w:rPr>
        <w:t xml:space="preserve"> des formations </w:t>
      </w:r>
      <w:proofErr w:type="spellStart"/>
      <w:r w:rsidRPr="0084062F">
        <w:rPr>
          <w:rFonts w:cstheme="minorHAnsi"/>
          <w:bCs/>
          <w:sz w:val="22"/>
          <w:szCs w:val="22"/>
          <w:highlight w:val="yellow"/>
        </w:rPr>
        <w:t>en</w:t>
      </w:r>
      <w:proofErr w:type="spellEnd"/>
      <w:r w:rsidRPr="0084062F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84062F">
        <w:rPr>
          <w:rFonts w:cstheme="minorHAnsi"/>
          <w:bCs/>
          <w:sz w:val="22"/>
          <w:szCs w:val="22"/>
          <w:highlight w:val="yellow"/>
        </w:rPr>
        <w:t>personne</w:t>
      </w:r>
      <w:proofErr w:type="spellEnd"/>
      <w:r w:rsidRPr="0084062F">
        <w:rPr>
          <w:rFonts w:cstheme="minorHAnsi"/>
          <w:bCs/>
          <w:sz w:val="22"/>
          <w:szCs w:val="22"/>
          <w:highlight w:val="yellow"/>
        </w:rPr>
        <w:t xml:space="preserve">, le format de la formation </w:t>
      </w:r>
      <w:proofErr w:type="spellStart"/>
      <w:r w:rsidRPr="0084062F">
        <w:rPr>
          <w:rFonts w:cstheme="minorHAnsi"/>
          <w:bCs/>
          <w:sz w:val="22"/>
          <w:szCs w:val="22"/>
          <w:highlight w:val="yellow"/>
        </w:rPr>
        <w:t>pourrait</w:t>
      </w:r>
      <w:proofErr w:type="spellEnd"/>
      <w:r w:rsidRPr="0084062F">
        <w:rPr>
          <w:rFonts w:cstheme="minorHAnsi"/>
          <w:bCs/>
          <w:sz w:val="22"/>
          <w:szCs w:val="22"/>
          <w:highlight w:val="yellow"/>
        </w:rPr>
        <w:t xml:space="preserve"> changer à la lumière des restrictions du Covid-19 dans le pays. </w:t>
      </w:r>
    </w:p>
    <w:p w:rsidRPr="00962853" w:rsidR="002A0A16" w:rsidP="00370DC1" w:rsidRDefault="002A0A16" w14:paraId="0526F566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Pr="00962853" w:rsidR="00DD37A1" w:rsidP="00370DC1" w:rsidRDefault="00DD37A1" w14:paraId="471D0C8B" w14:textId="488CC559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  <w:r w:rsidRPr="00962853">
        <w:rPr>
          <w:rFonts w:cstheme="minorHAnsi"/>
          <w:bCs/>
          <w:sz w:val="22"/>
          <w:szCs w:val="22"/>
        </w:rPr>
        <w:t xml:space="preserve">Le </w:t>
      </w:r>
      <w:r w:rsidRPr="00962853" w:rsidR="00EC14C5">
        <w:rPr>
          <w:rFonts w:cstheme="minorHAnsi"/>
          <w:bCs/>
          <w:sz w:val="22"/>
          <w:szCs w:val="22"/>
        </w:rPr>
        <w:t xml:space="preserve">matériel </w:t>
      </w:r>
      <w:proofErr w:type="spellStart"/>
      <w:r w:rsidRPr="00962853" w:rsidR="00EC14C5">
        <w:rPr>
          <w:rFonts w:cstheme="minorHAnsi"/>
          <w:bCs/>
          <w:sz w:val="22"/>
          <w:szCs w:val="22"/>
        </w:rPr>
        <w:t>d'</w:t>
      </w:r>
      <w:r w:rsidRPr="00962853" w:rsidR="000410BB">
        <w:rPr>
          <w:rFonts w:cstheme="minorHAnsi"/>
          <w:bCs/>
          <w:sz w:val="22"/>
          <w:szCs w:val="22"/>
        </w:rPr>
        <w:t>orientation</w:t>
      </w:r>
      <w:proofErr w:type="spellEnd"/>
      <w:r w:rsidRPr="00962853" w:rsidR="000410BB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comprendra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une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84062F">
        <w:rPr>
          <w:rFonts w:cstheme="minorHAnsi"/>
          <w:bCs/>
          <w:sz w:val="22"/>
          <w:szCs w:val="22"/>
          <w:highlight w:val="yellow"/>
        </w:rPr>
        <w:t>présentation</w:t>
      </w:r>
      <w:proofErr w:type="spellEnd"/>
      <w:r w:rsidRPr="0084062F">
        <w:rPr>
          <w:rFonts w:cstheme="minorHAnsi"/>
          <w:bCs/>
          <w:sz w:val="22"/>
          <w:szCs w:val="22"/>
          <w:highlight w:val="yellow"/>
        </w:rPr>
        <w:t xml:space="preserve"> PowerPoint</w:t>
      </w:r>
      <w:r w:rsidRPr="0084062F" w:rsidR="00DC1DC7">
        <w:rPr>
          <w:rFonts w:cstheme="minorHAnsi"/>
          <w:bCs/>
          <w:sz w:val="22"/>
          <w:szCs w:val="22"/>
          <w:highlight w:val="yellow"/>
        </w:rPr>
        <w:t xml:space="preserve">, un </w:t>
      </w:r>
      <w:r w:rsidRPr="0084062F" w:rsidR="004D029A">
        <w:rPr>
          <w:rFonts w:cstheme="minorHAnsi"/>
          <w:bCs/>
          <w:sz w:val="22"/>
          <w:szCs w:val="22"/>
          <w:highlight w:val="yellow"/>
        </w:rPr>
        <w:t xml:space="preserve">tableau de </w:t>
      </w:r>
      <w:proofErr w:type="spellStart"/>
      <w:r w:rsidRPr="0084062F" w:rsidR="004D029A">
        <w:rPr>
          <w:rFonts w:cstheme="minorHAnsi"/>
          <w:bCs/>
          <w:sz w:val="22"/>
          <w:szCs w:val="22"/>
          <w:highlight w:val="yellow"/>
        </w:rPr>
        <w:t>conférence</w:t>
      </w:r>
      <w:proofErr w:type="spellEnd"/>
      <w:r w:rsidRPr="0084062F" w:rsidR="004D029A">
        <w:rPr>
          <w:rFonts w:cstheme="minorHAnsi"/>
          <w:bCs/>
          <w:sz w:val="22"/>
          <w:szCs w:val="22"/>
          <w:highlight w:val="yellow"/>
        </w:rPr>
        <w:t xml:space="preserve"> </w:t>
      </w:r>
      <w:r w:rsidRPr="0084062F" w:rsidR="00DC1DC7">
        <w:rPr>
          <w:rFonts w:cstheme="minorHAnsi"/>
          <w:bCs/>
          <w:sz w:val="22"/>
          <w:szCs w:val="22"/>
          <w:highlight w:val="yellow"/>
        </w:rPr>
        <w:t xml:space="preserve">et un </w:t>
      </w:r>
      <w:proofErr w:type="spellStart"/>
      <w:r w:rsidRPr="0084062F" w:rsidR="00DC1DC7">
        <w:rPr>
          <w:rFonts w:cstheme="minorHAnsi"/>
          <w:bCs/>
          <w:sz w:val="22"/>
          <w:szCs w:val="22"/>
          <w:highlight w:val="yellow"/>
        </w:rPr>
        <w:t>outil</w:t>
      </w:r>
      <w:proofErr w:type="spellEnd"/>
      <w:r w:rsidRPr="0084062F" w:rsidR="00DC1DC7">
        <w:rPr>
          <w:rFonts w:cstheme="minorHAnsi"/>
          <w:bCs/>
          <w:sz w:val="22"/>
          <w:szCs w:val="22"/>
          <w:highlight w:val="yellow"/>
        </w:rPr>
        <w:t xml:space="preserve"> de travail de bureau</w:t>
      </w:r>
      <w:r w:rsidRPr="00962853" w:rsidR="008211E0">
        <w:rPr>
          <w:rFonts w:cstheme="minorHAnsi"/>
          <w:bCs/>
          <w:sz w:val="22"/>
          <w:szCs w:val="22"/>
        </w:rPr>
        <w:t xml:space="preserve">. </w:t>
      </w:r>
    </w:p>
    <w:p w:rsidRPr="00962853" w:rsidR="00B86F75" w:rsidP="00370DC1" w:rsidRDefault="00B86F75" w14:paraId="40771AD2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Pr="00962853" w:rsidR="00B86F75" w:rsidP="00370DC1" w:rsidRDefault="00B86F75" w14:paraId="344CBA77" w14:textId="7B4234E3">
      <w:pPr>
        <w:pStyle w:val="Heading2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proofErr w:type="spellStart"/>
      <w:r w:rsidRPr="00962853">
        <w:rPr>
          <w:rFonts w:asciiTheme="minorHAnsi" w:hAnsiTheme="minorHAnsi" w:cstheme="minorHAnsi"/>
        </w:rPr>
        <w:t>Principaux</w:t>
      </w:r>
      <w:proofErr w:type="spellEnd"/>
      <w:r w:rsidRPr="00962853">
        <w:rPr>
          <w:rFonts w:asciiTheme="minorHAnsi" w:hAnsiTheme="minorHAnsi" w:cstheme="minorHAnsi"/>
        </w:rPr>
        <w:t xml:space="preserve"> documents de communication</w:t>
      </w:r>
    </w:p>
    <w:p w:rsidRPr="00B84955" w:rsidR="00B84955" w:rsidP="00370DC1" w:rsidRDefault="00B84955" w14:paraId="40C9BAC5" w14:textId="3B8C6688">
      <w:pPr>
        <w:pStyle w:val="EndnoteText"/>
        <w:spacing w:line="276" w:lineRule="auto"/>
        <w:jc w:val="both"/>
        <w:rPr>
          <w:rFonts w:cstheme="minorHAnsi"/>
          <w:bCs/>
          <w:i/>
          <w:iCs/>
          <w:sz w:val="22"/>
          <w:szCs w:val="22"/>
        </w:rPr>
      </w:pPr>
      <w:r w:rsidRPr="00D53FBA">
        <w:rPr>
          <w:rFonts w:cstheme="minorHAnsi"/>
          <w:bCs/>
          <w:i/>
          <w:iCs/>
          <w:sz w:val="22"/>
          <w:szCs w:val="22"/>
          <w:highlight w:val="yellow"/>
        </w:rPr>
        <w:t>[</w:t>
      </w:r>
      <w:proofErr w:type="spellStart"/>
      <w:r w:rsidRPr="00D53FBA">
        <w:rPr>
          <w:rFonts w:cstheme="minorHAnsi"/>
          <w:bCs/>
          <w:i/>
          <w:iCs/>
          <w:sz w:val="22"/>
          <w:szCs w:val="22"/>
          <w:highlight w:val="yellow"/>
        </w:rPr>
        <w:t>liste</w:t>
      </w:r>
      <w:proofErr w:type="spellEnd"/>
      <w:r w:rsidRPr="00D53FBA">
        <w:rPr>
          <w:rFonts w:cstheme="minorHAnsi"/>
          <w:bCs/>
          <w:i/>
          <w:iCs/>
          <w:sz w:val="22"/>
          <w:szCs w:val="22"/>
          <w:highlight w:val="yellow"/>
        </w:rPr>
        <w:t xml:space="preserve"> de </w:t>
      </w:r>
      <w:proofErr w:type="spellStart"/>
      <w:r w:rsidRPr="00D53FBA">
        <w:rPr>
          <w:rFonts w:cstheme="minorHAnsi"/>
          <w:bCs/>
          <w:i/>
          <w:iCs/>
          <w:sz w:val="22"/>
          <w:szCs w:val="22"/>
          <w:highlight w:val="yellow"/>
        </w:rPr>
        <w:t>tous</w:t>
      </w:r>
      <w:proofErr w:type="spellEnd"/>
      <w:r w:rsidRPr="00D53FBA">
        <w:rPr>
          <w:rFonts w:cstheme="minorHAnsi"/>
          <w:bCs/>
          <w:i/>
          <w:iCs/>
          <w:sz w:val="22"/>
          <w:szCs w:val="22"/>
          <w:highlight w:val="yellow"/>
        </w:rPr>
        <w:t xml:space="preserve"> les documents que le </w:t>
      </w:r>
      <w:proofErr w:type="spellStart"/>
      <w:r w:rsidRPr="00D53FBA">
        <w:rPr>
          <w:rFonts w:cstheme="minorHAnsi"/>
          <w:bCs/>
          <w:i/>
          <w:iCs/>
          <w:sz w:val="22"/>
          <w:szCs w:val="22"/>
          <w:highlight w:val="yellow"/>
        </w:rPr>
        <w:t>ministère</w:t>
      </w:r>
      <w:proofErr w:type="spellEnd"/>
      <w:r w:rsidRPr="00D53FBA">
        <w:rPr>
          <w:rFonts w:cstheme="minorHAnsi"/>
          <w:bCs/>
          <w:i/>
          <w:iCs/>
          <w:sz w:val="22"/>
          <w:szCs w:val="22"/>
          <w:highlight w:val="yellow"/>
        </w:rPr>
        <w:t xml:space="preserve"> de la </w:t>
      </w:r>
      <w:proofErr w:type="spellStart"/>
      <w:r w:rsidRPr="00D53FBA">
        <w:rPr>
          <w:rFonts w:cstheme="minorHAnsi"/>
          <w:bCs/>
          <w:i/>
          <w:iCs/>
          <w:sz w:val="22"/>
          <w:szCs w:val="22"/>
          <w:highlight w:val="yellow"/>
        </w:rPr>
        <w:t>santé</w:t>
      </w:r>
      <w:proofErr w:type="spellEnd"/>
      <w:r w:rsidRPr="00D53FBA">
        <w:rPr>
          <w:rFonts w:cstheme="minorHAnsi"/>
          <w:bCs/>
          <w:i/>
          <w:iCs/>
          <w:sz w:val="22"/>
          <w:szCs w:val="22"/>
          <w:highlight w:val="yellow"/>
        </w:rPr>
        <w:t xml:space="preserve"> a </w:t>
      </w:r>
      <w:proofErr w:type="spellStart"/>
      <w:r w:rsidRPr="00D53FBA">
        <w:rPr>
          <w:rFonts w:cstheme="minorHAnsi"/>
          <w:bCs/>
          <w:i/>
          <w:iCs/>
          <w:sz w:val="22"/>
          <w:szCs w:val="22"/>
          <w:highlight w:val="yellow"/>
        </w:rPr>
        <w:t>l'intention</w:t>
      </w:r>
      <w:proofErr w:type="spellEnd"/>
      <w:r w:rsidRPr="00D53FBA">
        <w:rPr>
          <w:rFonts w:cstheme="minorHAnsi"/>
          <w:bCs/>
          <w:i/>
          <w:iCs/>
          <w:sz w:val="22"/>
          <w:szCs w:val="22"/>
          <w:highlight w:val="yellow"/>
        </w:rPr>
        <w:t xml:space="preserve"> de </w:t>
      </w:r>
      <w:r w:rsidRPr="00D53FBA" w:rsidR="005B4B29">
        <w:rPr>
          <w:rFonts w:cstheme="minorHAnsi"/>
          <w:bCs/>
          <w:i/>
          <w:iCs/>
          <w:sz w:val="22"/>
          <w:szCs w:val="22"/>
          <w:highlight w:val="yellow"/>
        </w:rPr>
        <w:t xml:space="preserve">diffuser, </w:t>
      </w:r>
      <w:proofErr w:type="spellStart"/>
      <w:r w:rsidRPr="00D53FBA">
        <w:rPr>
          <w:rFonts w:cstheme="minorHAnsi"/>
          <w:bCs/>
          <w:i/>
          <w:iCs/>
          <w:sz w:val="22"/>
          <w:szCs w:val="22"/>
          <w:highlight w:val="yellow"/>
        </w:rPr>
        <w:t>exemples</w:t>
      </w:r>
      <w:proofErr w:type="spellEnd"/>
      <w:r w:rsidRPr="00D53FBA">
        <w:rPr>
          <w:rFonts w:cstheme="minorHAnsi"/>
          <w:bCs/>
          <w:i/>
          <w:iCs/>
          <w:sz w:val="22"/>
          <w:szCs w:val="22"/>
          <w:highlight w:val="yellow"/>
        </w:rPr>
        <w:t xml:space="preserve"> ci-dessous]</w:t>
      </w:r>
    </w:p>
    <w:p w:rsidRPr="0098117C" w:rsidR="00B86F75" w:rsidP="00370DC1" w:rsidRDefault="00B86F75" w14:paraId="7E9A2857" w14:textId="7410E1B1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  <w:r w:rsidRPr="0098117C">
        <w:rPr>
          <w:rFonts w:cstheme="minorHAnsi"/>
          <w:bCs/>
          <w:sz w:val="22"/>
          <w:szCs w:val="22"/>
        </w:rPr>
        <w:t xml:space="preserve">Le </w:t>
      </w:r>
      <w:proofErr w:type="spellStart"/>
      <w:r w:rsidRPr="0098117C">
        <w:rPr>
          <w:rFonts w:cstheme="minorHAnsi"/>
          <w:bCs/>
          <w:sz w:val="22"/>
          <w:szCs w:val="22"/>
        </w:rPr>
        <w:t>ministère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9858DA">
        <w:rPr>
          <w:rFonts w:cstheme="minorHAnsi"/>
          <w:bCs/>
          <w:sz w:val="22"/>
          <w:szCs w:val="22"/>
        </w:rPr>
        <w:t>diffusera</w:t>
      </w:r>
      <w:proofErr w:type="spellEnd"/>
      <w:r w:rsidRPr="0098117C" w:rsidR="009858DA">
        <w:rPr>
          <w:rFonts w:cstheme="minorHAnsi"/>
          <w:bCs/>
          <w:sz w:val="22"/>
          <w:szCs w:val="22"/>
        </w:rPr>
        <w:t xml:space="preserve"> </w:t>
      </w:r>
      <w:r w:rsidRPr="0098117C">
        <w:rPr>
          <w:rFonts w:cstheme="minorHAnsi"/>
          <w:bCs/>
          <w:sz w:val="22"/>
          <w:szCs w:val="22"/>
        </w:rPr>
        <w:t xml:space="preserve">les </w:t>
      </w:r>
      <w:r w:rsidR="007F5C54">
        <w:rPr>
          <w:rFonts w:cstheme="minorHAnsi"/>
          <w:bCs/>
          <w:sz w:val="22"/>
          <w:szCs w:val="22"/>
        </w:rPr>
        <w:t xml:space="preserve">documents </w:t>
      </w:r>
      <w:proofErr w:type="spellStart"/>
      <w:r w:rsidRPr="0098117C">
        <w:rPr>
          <w:rFonts w:cstheme="minorHAnsi"/>
          <w:bCs/>
          <w:sz w:val="22"/>
          <w:szCs w:val="22"/>
        </w:rPr>
        <w:t>suivants</w:t>
      </w:r>
      <w:commentRangeStart w:id="7"/>
      <w:proofErr w:type="spellEnd"/>
      <w:r w:rsidRPr="0098117C">
        <w:rPr>
          <w:rFonts w:cstheme="minorHAnsi"/>
          <w:bCs/>
          <w:sz w:val="22"/>
          <w:szCs w:val="22"/>
        </w:rPr>
        <w:t xml:space="preserve"> </w:t>
      </w:r>
      <w:commentRangeEnd w:id="7"/>
      <w:r w:rsidR="003B4754">
        <w:rPr>
          <w:rStyle w:val="CommentReference"/>
        </w:rPr>
        <w:commentReference w:id="7"/>
      </w:r>
      <w:r w:rsidRPr="0098117C">
        <w:rPr>
          <w:rFonts w:cstheme="minorHAnsi"/>
          <w:bCs/>
          <w:sz w:val="22"/>
          <w:szCs w:val="22"/>
        </w:rPr>
        <w:t>:</w:t>
      </w:r>
    </w:p>
    <w:p w:rsidRPr="0098117C" w:rsidR="008211E0" w:rsidP="00370DC1" w:rsidRDefault="008211E0" w14:paraId="7B0A8BE3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Pr="0098117C" w:rsidR="008211E0" w:rsidP="00370DC1" w:rsidRDefault="00B86F75" w14:paraId="0B7D2E1E" w14:textId="06340034">
      <w:pPr>
        <w:pStyle w:val="EndnoteText"/>
        <w:numPr>
          <w:ilvl w:val="0"/>
          <w:numId w:val="33"/>
        </w:numPr>
        <w:spacing w:line="276" w:lineRule="auto"/>
        <w:jc w:val="both"/>
        <w:rPr>
          <w:rFonts w:cstheme="minorHAnsi"/>
          <w:bCs/>
          <w:sz w:val="22"/>
          <w:szCs w:val="22"/>
        </w:rPr>
      </w:pPr>
      <w:r w:rsidRPr="0098117C">
        <w:rPr>
          <w:rFonts w:cstheme="minorHAnsi"/>
          <w:bCs/>
          <w:sz w:val="22"/>
          <w:szCs w:val="22"/>
        </w:rPr>
        <w:t xml:space="preserve">La </w:t>
      </w:r>
      <w:proofErr w:type="spellStart"/>
      <w:r w:rsidRPr="0098117C" w:rsidR="00EF38F0">
        <w:rPr>
          <w:rFonts w:cstheme="minorHAnsi"/>
          <w:bCs/>
          <w:sz w:val="22"/>
          <w:szCs w:val="22"/>
        </w:rPr>
        <w:t>réimpression</w:t>
      </w:r>
      <w:proofErr w:type="spellEnd"/>
      <w:r w:rsidRPr="0098117C">
        <w:rPr>
          <w:rFonts w:ascii="Wingdings" w:hAnsi="Wingdings" w:eastAsia="Wingdings" w:cs="Wingdings" w:cstheme="minorHAnsi"/>
          <w:bCs/>
          <w:sz w:val="22"/>
          <w:szCs w:val="22"/>
        </w:rPr>
        <w:t>à</w:t>
      </w:r>
      <w:r w:rsidRPr="0098117C" w:rsidR="0019572A">
        <w:rPr>
          <w:rFonts w:cstheme="minorHAnsi"/>
          <w:bCs/>
          <w:sz w:val="22"/>
          <w:szCs w:val="22"/>
        </w:rPr>
        <w:t xml:space="preserve">et la </w:t>
      </w:r>
      <w:r w:rsidRPr="0098117C" w:rsidR="00EF38F0">
        <w:rPr>
          <w:rFonts w:cstheme="minorHAnsi"/>
          <w:bCs/>
          <w:sz w:val="22"/>
          <w:szCs w:val="22"/>
        </w:rPr>
        <w:t xml:space="preserve">diffusion de la version </w:t>
      </w:r>
      <w:proofErr w:type="spellStart"/>
      <w:r w:rsidRPr="0098117C" w:rsidR="00EF38F0">
        <w:rPr>
          <w:rFonts w:cstheme="minorHAnsi"/>
          <w:bCs/>
          <w:sz w:val="22"/>
          <w:szCs w:val="22"/>
        </w:rPr>
        <w:t>actualisée</w:t>
      </w:r>
      <w:proofErr w:type="spellEnd"/>
      <w:r w:rsidRPr="0098117C" w:rsidR="00EF38F0">
        <w:rPr>
          <w:rFonts w:cstheme="minorHAnsi"/>
          <w:bCs/>
          <w:sz w:val="22"/>
          <w:szCs w:val="22"/>
        </w:rPr>
        <w:t xml:space="preserve"> des directives sur le VIH, qui </w:t>
      </w:r>
      <w:proofErr w:type="spellStart"/>
      <w:r w:rsidRPr="0098117C" w:rsidR="00EF38F0">
        <w:rPr>
          <w:rFonts w:cstheme="minorHAnsi"/>
          <w:bCs/>
          <w:sz w:val="22"/>
          <w:szCs w:val="22"/>
        </w:rPr>
        <w:t>comprend</w:t>
      </w:r>
      <w:proofErr w:type="spellEnd"/>
      <w:r w:rsidRPr="0098117C" w:rsidR="00EF38F0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EF38F0">
        <w:rPr>
          <w:rFonts w:cstheme="minorHAnsi"/>
          <w:bCs/>
          <w:sz w:val="22"/>
          <w:szCs w:val="22"/>
        </w:rPr>
        <w:t>une</w:t>
      </w:r>
      <w:proofErr w:type="spellEnd"/>
      <w:r w:rsidRPr="0098117C" w:rsidR="00EF38F0">
        <w:rPr>
          <w:rFonts w:cstheme="minorHAnsi"/>
          <w:bCs/>
          <w:sz w:val="22"/>
          <w:szCs w:val="22"/>
        </w:rPr>
        <w:t xml:space="preserve"> section </w:t>
      </w:r>
      <w:proofErr w:type="spellStart"/>
      <w:r w:rsidRPr="0098117C" w:rsidR="00EF38F0">
        <w:rPr>
          <w:rFonts w:cstheme="minorHAnsi"/>
          <w:bCs/>
          <w:sz w:val="22"/>
          <w:szCs w:val="22"/>
        </w:rPr>
        <w:t>mettant</w:t>
      </w:r>
      <w:proofErr w:type="spellEnd"/>
      <w:r w:rsidRPr="0098117C" w:rsidR="00EF38F0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EF38F0">
        <w:rPr>
          <w:rFonts w:cstheme="minorHAnsi"/>
          <w:bCs/>
          <w:sz w:val="22"/>
          <w:szCs w:val="22"/>
        </w:rPr>
        <w:t>en</w:t>
      </w:r>
      <w:proofErr w:type="spellEnd"/>
      <w:r w:rsidRPr="0098117C" w:rsidR="00EF38F0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EF38F0">
        <w:rPr>
          <w:rFonts w:cstheme="minorHAnsi"/>
          <w:bCs/>
          <w:sz w:val="22"/>
          <w:szCs w:val="22"/>
        </w:rPr>
        <w:t>évidence</w:t>
      </w:r>
      <w:proofErr w:type="spellEnd"/>
      <w:r w:rsidRPr="0098117C" w:rsidR="00EF38F0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EF38F0">
        <w:rPr>
          <w:rFonts w:cstheme="minorHAnsi"/>
          <w:bCs/>
          <w:sz w:val="22"/>
          <w:szCs w:val="22"/>
        </w:rPr>
        <w:t>tous</w:t>
      </w:r>
      <w:proofErr w:type="spellEnd"/>
      <w:r w:rsidRPr="0098117C" w:rsidR="00EF38F0">
        <w:rPr>
          <w:rFonts w:cstheme="minorHAnsi"/>
          <w:bCs/>
          <w:sz w:val="22"/>
          <w:szCs w:val="22"/>
        </w:rPr>
        <w:t xml:space="preserve"> les </w:t>
      </w:r>
      <w:proofErr w:type="spellStart"/>
      <w:r w:rsidRPr="0098117C" w:rsidR="00EF38F0">
        <w:rPr>
          <w:rFonts w:cstheme="minorHAnsi"/>
          <w:bCs/>
          <w:sz w:val="22"/>
          <w:szCs w:val="22"/>
        </w:rPr>
        <w:t>changements</w:t>
      </w:r>
      <w:proofErr w:type="spellEnd"/>
      <w:r w:rsidRPr="0098117C" w:rsidR="00EF38F0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EF38F0">
        <w:rPr>
          <w:rFonts w:cstheme="minorHAnsi"/>
          <w:bCs/>
          <w:sz w:val="22"/>
          <w:szCs w:val="22"/>
        </w:rPr>
        <w:t>clés</w:t>
      </w:r>
      <w:proofErr w:type="spellEnd"/>
      <w:r w:rsidRPr="0098117C" w:rsidR="00EF38F0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0410BB">
        <w:rPr>
          <w:rFonts w:cstheme="minorHAnsi"/>
          <w:bCs/>
          <w:sz w:val="22"/>
          <w:szCs w:val="22"/>
        </w:rPr>
        <w:t>permettant</w:t>
      </w:r>
      <w:proofErr w:type="spellEnd"/>
      <w:r w:rsidRPr="0098117C" w:rsidR="000410BB">
        <w:rPr>
          <w:rFonts w:cstheme="minorHAnsi"/>
          <w:bCs/>
          <w:sz w:val="22"/>
          <w:szCs w:val="22"/>
        </w:rPr>
        <w:t xml:space="preserve"> aux </w:t>
      </w:r>
      <w:proofErr w:type="spellStart"/>
      <w:r w:rsidRPr="0098117C" w:rsidR="000410BB">
        <w:rPr>
          <w:rFonts w:cstheme="minorHAnsi"/>
          <w:bCs/>
          <w:sz w:val="22"/>
          <w:szCs w:val="22"/>
        </w:rPr>
        <w:t>établissements</w:t>
      </w:r>
      <w:proofErr w:type="spellEnd"/>
      <w:r w:rsidRPr="0098117C" w:rsidR="000410BB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98117C" w:rsidR="000410BB">
        <w:rPr>
          <w:rFonts w:cstheme="minorHAnsi"/>
          <w:bCs/>
          <w:sz w:val="22"/>
          <w:szCs w:val="22"/>
        </w:rPr>
        <w:t>planifier</w:t>
      </w:r>
      <w:proofErr w:type="spellEnd"/>
      <w:r w:rsidRPr="0098117C" w:rsidR="000410BB">
        <w:rPr>
          <w:rFonts w:cstheme="minorHAnsi"/>
          <w:bCs/>
          <w:sz w:val="22"/>
          <w:szCs w:val="22"/>
        </w:rPr>
        <w:t xml:space="preserve"> </w:t>
      </w:r>
      <w:r w:rsidRPr="0098117C" w:rsidR="00EF38F0">
        <w:rPr>
          <w:rFonts w:cstheme="minorHAnsi"/>
          <w:bCs/>
          <w:sz w:val="22"/>
          <w:szCs w:val="22"/>
        </w:rPr>
        <w:t>(</w:t>
      </w:r>
      <w:proofErr w:type="spellStart"/>
      <w:r w:rsidRPr="0098117C" w:rsidR="00EF38F0">
        <w:rPr>
          <w:rFonts w:cstheme="minorHAnsi"/>
          <w:bCs/>
          <w:sz w:val="22"/>
          <w:szCs w:val="22"/>
        </w:rPr>
        <w:t>dont</w:t>
      </w:r>
      <w:proofErr w:type="spellEnd"/>
      <w:r w:rsidRPr="0098117C" w:rsidR="00EF38F0">
        <w:rPr>
          <w:rFonts w:cstheme="minorHAnsi"/>
          <w:bCs/>
          <w:sz w:val="22"/>
          <w:szCs w:val="22"/>
        </w:rPr>
        <w:t xml:space="preserve"> les </w:t>
      </w:r>
      <w:r w:rsidRPr="0098117C" w:rsidR="00E726A2">
        <w:rPr>
          <w:rFonts w:cstheme="minorHAnsi"/>
          <w:bCs/>
          <w:sz w:val="22"/>
          <w:szCs w:val="22"/>
        </w:rPr>
        <w:t xml:space="preserve">orientations </w:t>
      </w:r>
      <w:proofErr w:type="spellStart"/>
      <w:r w:rsidRPr="0098117C" w:rsidR="00EF38F0">
        <w:rPr>
          <w:rFonts w:cstheme="minorHAnsi"/>
          <w:bCs/>
          <w:sz w:val="22"/>
          <w:szCs w:val="22"/>
        </w:rPr>
        <w:t>seront</w:t>
      </w:r>
      <w:proofErr w:type="spellEnd"/>
      <w:r w:rsidRPr="0098117C" w:rsidR="00EF38F0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EF38F0">
        <w:rPr>
          <w:rFonts w:cstheme="minorHAnsi"/>
          <w:bCs/>
          <w:sz w:val="22"/>
          <w:szCs w:val="22"/>
        </w:rPr>
        <w:t>axées</w:t>
      </w:r>
      <w:proofErr w:type="spellEnd"/>
      <w:r w:rsidRPr="0098117C" w:rsidR="00EF38F0">
        <w:rPr>
          <w:rFonts w:cstheme="minorHAnsi"/>
          <w:bCs/>
          <w:sz w:val="22"/>
          <w:szCs w:val="22"/>
        </w:rPr>
        <w:t xml:space="preserve">) </w:t>
      </w:r>
    </w:p>
    <w:p w:rsidRPr="0098117C" w:rsidR="008211E0" w:rsidP="00370DC1" w:rsidRDefault="00B86F75" w14:paraId="40A3956F" w14:textId="65B8C372">
      <w:pPr>
        <w:pStyle w:val="EndnoteText"/>
        <w:numPr>
          <w:ilvl w:val="0"/>
          <w:numId w:val="33"/>
        </w:numPr>
        <w:spacing w:line="276" w:lineRule="auto"/>
        <w:jc w:val="both"/>
        <w:rPr>
          <w:rFonts w:cstheme="minorHAnsi"/>
          <w:bCs/>
          <w:sz w:val="22"/>
          <w:szCs w:val="22"/>
        </w:rPr>
      </w:pPr>
      <w:r w:rsidRPr="0098117C">
        <w:rPr>
          <w:rFonts w:cstheme="minorHAnsi"/>
          <w:bCs/>
          <w:sz w:val="22"/>
          <w:szCs w:val="22"/>
        </w:rPr>
        <w:t>La VL Testing Guidance Circular</w:t>
      </w:r>
      <w:r w:rsidRPr="0098117C">
        <w:rPr>
          <w:rFonts w:ascii="Wingdings" w:hAnsi="Wingdings" w:eastAsia="Wingdings" w:cs="Wingdings" w:cstheme="minorHAnsi"/>
          <w:bCs/>
          <w:sz w:val="22"/>
          <w:szCs w:val="22"/>
        </w:rPr>
        <w:t>à</w:t>
      </w:r>
      <w:r w:rsidRPr="0098117C" w:rsidR="00835B9C">
        <w:rPr>
          <w:rFonts w:cstheme="minorHAnsi"/>
          <w:bCs/>
          <w:sz w:val="22"/>
          <w:szCs w:val="22"/>
        </w:rPr>
        <w:t xml:space="preserve">régimes à </w:t>
      </w:r>
      <w:r w:rsidRPr="0098117C" w:rsidR="00E24F3F">
        <w:rPr>
          <w:rFonts w:cstheme="minorHAnsi"/>
          <w:bCs/>
          <w:sz w:val="22"/>
          <w:szCs w:val="22"/>
        </w:rPr>
        <w:t xml:space="preserve">base de pDTG </w:t>
      </w:r>
    </w:p>
    <w:p w:rsidRPr="0098117C" w:rsidR="00AA3C3A" w:rsidP="00370DC1" w:rsidRDefault="00B86F75" w14:paraId="061800A2" w14:textId="05B0F05B">
      <w:pPr>
        <w:pStyle w:val="EndnoteText"/>
        <w:numPr>
          <w:ilvl w:val="0"/>
          <w:numId w:val="33"/>
        </w:numPr>
        <w:spacing w:line="276" w:lineRule="auto"/>
        <w:jc w:val="both"/>
        <w:rPr>
          <w:rFonts w:cstheme="minorHAnsi"/>
          <w:bCs/>
          <w:sz w:val="22"/>
          <w:szCs w:val="22"/>
        </w:rPr>
      </w:pPr>
      <w:proofErr w:type="spellStart"/>
      <w:r w:rsidRPr="0098117C">
        <w:rPr>
          <w:rFonts w:cstheme="minorHAnsi"/>
          <w:bCs/>
          <w:sz w:val="22"/>
          <w:szCs w:val="22"/>
        </w:rPr>
        <w:t>Circulaire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sur la gestion des stocks et les </w:t>
      </w:r>
      <w:proofErr w:type="spellStart"/>
      <w:r w:rsidRPr="0098117C">
        <w:rPr>
          <w:rFonts w:cstheme="minorHAnsi"/>
          <w:bCs/>
          <w:sz w:val="22"/>
          <w:szCs w:val="22"/>
        </w:rPr>
        <w:t>commandes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98117C">
        <w:rPr>
          <w:rFonts w:cstheme="minorHAnsi"/>
          <w:bCs/>
          <w:sz w:val="22"/>
          <w:szCs w:val="22"/>
        </w:rPr>
        <w:t>produits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pour </w:t>
      </w:r>
      <w:r w:rsidRPr="0098117C">
        <w:rPr>
          <w:rFonts w:ascii="Wingdings" w:hAnsi="Wingdings" w:eastAsia="Wingdings" w:cs="Wingdings" w:cstheme="minorHAnsi"/>
          <w:bCs/>
          <w:sz w:val="22"/>
          <w:szCs w:val="22"/>
        </w:rPr>
        <w:t>à</w:t>
      </w:r>
      <w:r w:rsidRPr="0098117C">
        <w:rPr>
          <w:rFonts w:cstheme="minorHAnsi"/>
          <w:bCs/>
          <w:sz w:val="22"/>
          <w:szCs w:val="22"/>
        </w:rPr>
        <w:t xml:space="preserve">les </w:t>
      </w:r>
      <w:r w:rsidRPr="0098117C" w:rsidR="008211E0">
        <w:rPr>
          <w:rFonts w:cstheme="minorHAnsi"/>
          <w:bCs/>
          <w:sz w:val="22"/>
          <w:szCs w:val="22"/>
        </w:rPr>
        <w:t xml:space="preserve">installations du </w:t>
      </w:r>
      <w:proofErr w:type="spellStart"/>
      <w:r w:rsidRPr="0098117C">
        <w:rPr>
          <w:rFonts w:cstheme="minorHAnsi"/>
          <w:bCs/>
          <w:sz w:val="22"/>
          <w:szCs w:val="22"/>
        </w:rPr>
        <w:t>secteur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public, qui </w:t>
      </w:r>
      <w:proofErr w:type="spellStart"/>
      <w:r w:rsidRPr="0098117C">
        <w:rPr>
          <w:rFonts w:cstheme="minorHAnsi"/>
          <w:bCs/>
          <w:sz w:val="22"/>
          <w:szCs w:val="22"/>
        </w:rPr>
        <w:t>explique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</w:t>
      </w:r>
      <w:r w:rsidRPr="0098117C" w:rsidR="008211E0">
        <w:rPr>
          <w:rFonts w:cstheme="minorHAnsi"/>
          <w:bCs/>
          <w:sz w:val="22"/>
          <w:szCs w:val="22"/>
        </w:rPr>
        <w:t xml:space="preserve">comment </w:t>
      </w:r>
      <w:r w:rsidRPr="0098117C">
        <w:rPr>
          <w:rFonts w:cstheme="minorHAnsi"/>
          <w:bCs/>
          <w:sz w:val="22"/>
          <w:szCs w:val="22"/>
        </w:rPr>
        <w:t xml:space="preserve">commander et </w:t>
      </w:r>
      <w:proofErr w:type="spellStart"/>
      <w:r w:rsidRPr="0098117C">
        <w:rPr>
          <w:rFonts w:cstheme="minorHAnsi"/>
          <w:bCs/>
          <w:sz w:val="22"/>
          <w:szCs w:val="22"/>
        </w:rPr>
        <w:t>gérer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8211E0">
        <w:rPr>
          <w:rFonts w:cstheme="minorHAnsi"/>
          <w:bCs/>
          <w:sz w:val="22"/>
          <w:szCs w:val="22"/>
        </w:rPr>
        <w:t>correctement</w:t>
      </w:r>
      <w:proofErr w:type="spellEnd"/>
      <w:r w:rsidRPr="0098117C" w:rsidR="008211E0">
        <w:rPr>
          <w:rFonts w:cstheme="minorHAnsi"/>
          <w:bCs/>
          <w:sz w:val="22"/>
          <w:szCs w:val="22"/>
        </w:rPr>
        <w:t xml:space="preserve"> les </w:t>
      </w:r>
      <w:r w:rsidRPr="0098117C">
        <w:rPr>
          <w:rFonts w:cstheme="minorHAnsi"/>
          <w:bCs/>
          <w:sz w:val="22"/>
          <w:szCs w:val="22"/>
        </w:rPr>
        <w:t xml:space="preserve">stocks </w:t>
      </w:r>
      <w:proofErr w:type="spellStart"/>
      <w:r w:rsidRPr="0098117C">
        <w:rPr>
          <w:rFonts w:cstheme="minorHAnsi"/>
          <w:bCs/>
          <w:sz w:val="22"/>
          <w:szCs w:val="22"/>
        </w:rPr>
        <w:t>existants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>
        <w:rPr>
          <w:rFonts w:cstheme="minorHAnsi"/>
          <w:bCs/>
          <w:sz w:val="22"/>
          <w:szCs w:val="22"/>
        </w:rPr>
        <w:t>afin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de limiter le </w:t>
      </w:r>
      <w:proofErr w:type="spellStart"/>
      <w:r w:rsidRPr="0098117C">
        <w:rPr>
          <w:rFonts w:cstheme="minorHAnsi"/>
          <w:bCs/>
          <w:sz w:val="22"/>
          <w:szCs w:val="22"/>
        </w:rPr>
        <w:t>gaspillage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et de </w:t>
      </w:r>
      <w:proofErr w:type="spellStart"/>
      <w:r w:rsidRPr="0098117C">
        <w:rPr>
          <w:rFonts w:cstheme="minorHAnsi"/>
          <w:bCs/>
          <w:sz w:val="22"/>
          <w:szCs w:val="22"/>
        </w:rPr>
        <w:t>garantir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>
        <w:rPr>
          <w:rFonts w:cstheme="minorHAnsi"/>
          <w:bCs/>
          <w:sz w:val="22"/>
          <w:szCs w:val="22"/>
        </w:rPr>
        <w:t>l'absence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98117C">
        <w:rPr>
          <w:rFonts w:cstheme="minorHAnsi"/>
          <w:bCs/>
          <w:sz w:val="22"/>
          <w:szCs w:val="22"/>
        </w:rPr>
        <w:t>péremption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</w:t>
      </w:r>
    </w:p>
    <w:p w:rsidRPr="0098117C" w:rsidR="00AA3C3A" w:rsidP="00370DC1" w:rsidRDefault="00AA3C3A" w14:paraId="61DCEA5E" w14:textId="4146E79C">
      <w:pPr>
        <w:pStyle w:val="EndnoteText"/>
        <w:numPr>
          <w:ilvl w:val="0"/>
          <w:numId w:val="33"/>
        </w:numPr>
        <w:spacing w:line="276" w:lineRule="auto"/>
        <w:jc w:val="both"/>
        <w:rPr>
          <w:rFonts w:cstheme="minorHAnsi"/>
          <w:bCs/>
          <w:sz w:val="22"/>
          <w:szCs w:val="22"/>
        </w:rPr>
      </w:pPr>
      <w:r w:rsidRPr="0098117C">
        <w:rPr>
          <w:rFonts w:cstheme="minorHAnsi"/>
          <w:bCs/>
          <w:sz w:val="22"/>
          <w:szCs w:val="22"/>
        </w:rPr>
        <w:t xml:space="preserve">Communication de haut </w:t>
      </w:r>
      <w:proofErr w:type="spellStart"/>
      <w:r w:rsidRPr="0098117C">
        <w:rPr>
          <w:rFonts w:cstheme="minorHAnsi"/>
          <w:bCs/>
          <w:sz w:val="22"/>
          <w:szCs w:val="22"/>
        </w:rPr>
        <w:t>niveau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du </w:t>
      </w:r>
      <w:proofErr w:type="spellStart"/>
      <w:r w:rsidRPr="0098117C">
        <w:rPr>
          <w:rFonts w:cstheme="minorHAnsi"/>
          <w:bCs/>
          <w:sz w:val="22"/>
          <w:szCs w:val="22"/>
        </w:rPr>
        <w:t>ministère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>
        <w:rPr>
          <w:rFonts w:cstheme="minorHAnsi"/>
          <w:bCs/>
          <w:sz w:val="22"/>
          <w:szCs w:val="22"/>
        </w:rPr>
        <w:t>concernant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la mise à jour des directives sur le VIH à </w:t>
      </w:r>
      <w:proofErr w:type="spellStart"/>
      <w:r w:rsidRPr="0098117C">
        <w:rPr>
          <w:rFonts w:cstheme="minorHAnsi"/>
          <w:bCs/>
          <w:sz w:val="22"/>
          <w:szCs w:val="22"/>
        </w:rPr>
        <w:t>l'intention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des patients et de la </w:t>
      </w:r>
      <w:proofErr w:type="spellStart"/>
      <w:r w:rsidRPr="0098117C">
        <w:rPr>
          <w:rFonts w:cstheme="minorHAnsi"/>
          <w:bCs/>
          <w:sz w:val="22"/>
          <w:szCs w:val="22"/>
        </w:rPr>
        <w:t>société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civile</w:t>
      </w:r>
    </w:p>
    <w:p w:rsidRPr="0098117C" w:rsidR="004534D0" w:rsidP="00370DC1" w:rsidRDefault="004534D0" w14:paraId="5987E382" w14:textId="750E40C4">
      <w:pPr>
        <w:pStyle w:val="EndnoteText"/>
        <w:numPr>
          <w:ilvl w:val="0"/>
          <w:numId w:val="33"/>
        </w:numPr>
        <w:spacing w:line="276" w:lineRule="auto"/>
        <w:jc w:val="both"/>
        <w:rPr>
          <w:rFonts w:cstheme="minorHAnsi"/>
          <w:bCs/>
          <w:sz w:val="22"/>
          <w:szCs w:val="22"/>
        </w:rPr>
      </w:pPr>
      <w:r w:rsidRPr="0098117C">
        <w:rPr>
          <w:rFonts w:cstheme="minorHAnsi"/>
          <w:bCs/>
          <w:sz w:val="22"/>
          <w:szCs w:val="22"/>
        </w:rPr>
        <w:t xml:space="preserve">Programme de formation des </w:t>
      </w:r>
      <w:proofErr w:type="spellStart"/>
      <w:r w:rsidRPr="0098117C">
        <w:rPr>
          <w:rFonts w:cstheme="minorHAnsi"/>
          <w:bCs/>
          <w:sz w:val="22"/>
          <w:szCs w:val="22"/>
        </w:rPr>
        <w:t>travailleurs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de la </w:t>
      </w:r>
      <w:proofErr w:type="spellStart"/>
      <w:r w:rsidRPr="0098117C">
        <w:rPr>
          <w:rFonts w:cstheme="minorHAnsi"/>
          <w:bCs/>
          <w:sz w:val="22"/>
          <w:szCs w:val="22"/>
        </w:rPr>
        <w:t>santé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(HCW) sur le pDTG </w:t>
      </w:r>
      <w:r w:rsidRPr="0098117C">
        <w:rPr>
          <w:rFonts w:ascii="Wingdings" w:hAnsi="Wingdings" w:eastAsia="Wingdings" w:cs="Wingdings" w:cstheme="minorHAnsi"/>
          <w:bCs/>
          <w:sz w:val="22"/>
          <w:szCs w:val="22"/>
        </w:rPr>
        <w:t>à</w:t>
      </w:r>
      <w:r w:rsidRPr="0098117C">
        <w:rPr>
          <w:rFonts w:cstheme="minorHAnsi"/>
          <w:bCs/>
          <w:sz w:val="22"/>
          <w:szCs w:val="22"/>
        </w:rPr>
        <w:t xml:space="preserve">pour que les HCW </w:t>
      </w:r>
      <w:proofErr w:type="spellStart"/>
      <w:r w:rsidRPr="0098117C">
        <w:rPr>
          <w:rFonts w:cstheme="minorHAnsi"/>
          <w:bCs/>
          <w:sz w:val="22"/>
          <w:szCs w:val="22"/>
        </w:rPr>
        <w:t>puissent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se </w:t>
      </w:r>
      <w:proofErr w:type="spellStart"/>
      <w:r w:rsidRPr="0098117C">
        <w:rPr>
          <w:rFonts w:cstheme="minorHAnsi"/>
          <w:bCs/>
          <w:sz w:val="22"/>
          <w:szCs w:val="22"/>
        </w:rPr>
        <w:t>référer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aux orientations </w:t>
      </w:r>
      <w:proofErr w:type="spellStart"/>
      <w:r w:rsidRPr="0098117C">
        <w:rPr>
          <w:rFonts w:cstheme="minorHAnsi"/>
          <w:bCs/>
          <w:sz w:val="22"/>
          <w:szCs w:val="22"/>
        </w:rPr>
        <w:t>nationales</w:t>
      </w:r>
      <w:proofErr w:type="spellEnd"/>
      <w:r w:rsidRPr="0098117C">
        <w:rPr>
          <w:rFonts w:cstheme="minorHAnsi"/>
          <w:bCs/>
          <w:sz w:val="22"/>
          <w:szCs w:val="22"/>
        </w:rPr>
        <w:t xml:space="preserve"> sur le pDTG et la manière de le </w:t>
      </w:r>
      <w:proofErr w:type="spellStart"/>
      <w:r w:rsidRPr="0098117C">
        <w:rPr>
          <w:rFonts w:cstheme="minorHAnsi"/>
          <w:bCs/>
          <w:sz w:val="22"/>
          <w:szCs w:val="22"/>
        </w:rPr>
        <w:t>prescrire</w:t>
      </w:r>
      <w:proofErr w:type="spellEnd"/>
    </w:p>
    <w:p w:rsidR="004534D0" w:rsidP="00370DC1" w:rsidRDefault="00221B8F" w14:paraId="7B369685" w14:textId="6C484575">
      <w:pPr>
        <w:pStyle w:val="EndnoteText"/>
        <w:numPr>
          <w:ilvl w:val="0"/>
          <w:numId w:val="33"/>
        </w:numPr>
        <w:spacing w:line="276" w:lineRule="auto"/>
        <w:jc w:val="both"/>
        <w:rPr>
          <w:rFonts w:cstheme="minorHAnsi"/>
          <w:bCs/>
          <w:sz w:val="22"/>
          <w:szCs w:val="22"/>
        </w:rPr>
      </w:pPr>
      <w:r w:rsidRPr="0098117C">
        <w:rPr>
          <w:rFonts w:ascii="Wingdings" w:hAnsi="Wingdings" w:eastAsia="Wingdings" w:cs="Wingdings" w:cstheme="minorHAnsi"/>
          <w:bCs/>
          <w:sz w:val="22"/>
          <w:szCs w:val="22"/>
        </w:rPr>
        <w:t>à</w:t>
      </w:r>
      <w:r w:rsidRPr="0098117C" w:rsidR="004534D0">
        <w:rPr>
          <w:rFonts w:cstheme="minorHAnsi"/>
          <w:bCs/>
          <w:sz w:val="22"/>
          <w:szCs w:val="22"/>
        </w:rPr>
        <w:t xml:space="preserve">aide à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l'emploi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du pDTG pour les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travailleurs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de la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santé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est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un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outil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destiné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à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être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utilisé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par les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travailleurs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de la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santé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qui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ont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été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formés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au pDTG et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sert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référence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pour les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principales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orientations et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recommandations</w:t>
      </w:r>
      <w:proofErr w:type="spellEnd"/>
      <w:r w:rsidRPr="0098117C" w:rsidR="004534D0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8117C" w:rsidR="004534D0">
        <w:rPr>
          <w:rFonts w:cstheme="minorHAnsi"/>
          <w:bCs/>
          <w:sz w:val="22"/>
          <w:szCs w:val="22"/>
        </w:rPr>
        <w:t>cliniques</w:t>
      </w:r>
      <w:proofErr w:type="spellEnd"/>
    </w:p>
    <w:p w:rsidR="00FB49B8" w:rsidP="00FB49B8" w:rsidRDefault="00FB49B8" w14:paraId="2B9D8C25" w14:textId="56163DFC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="00FB49B8" w:rsidP="00FB49B8" w:rsidRDefault="00353858" w14:paraId="1D5867C1" w14:textId="2F01E60A">
      <w:pPr>
        <w:pStyle w:val="Heading2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Engagement </w:t>
      </w:r>
      <w:proofErr w:type="spellStart"/>
      <w:r w:rsidR="00FB49B8">
        <w:rPr>
          <w:rFonts w:asciiTheme="minorHAnsi" w:hAnsiTheme="minorHAnsi" w:cstheme="minorHAnsi"/>
        </w:rPr>
        <w:t>communautaire</w:t>
      </w:r>
      <w:proofErr w:type="spellEnd"/>
      <w:r w:rsidR="00FB49B8">
        <w:rPr>
          <w:rFonts w:asciiTheme="minorHAnsi" w:hAnsiTheme="minorHAnsi" w:cstheme="minorHAnsi"/>
        </w:rPr>
        <w:t xml:space="preserve"> </w:t>
      </w:r>
    </w:p>
    <w:p w:rsidR="00701BCC" w:rsidP="005B526B" w:rsidRDefault="00B34C75" w14:paraId="5A85A745" w14:textId="181CB6F8">
      <w:pPr>
        <w:jc w:val="both"/>
      </w:pPr>
      <w:r w:rsidRPr="00B34C75">
        <w:t xml:space="preserve">Afin de </w:t>
      </w:r>
      <w:proofErr w:type="spellStart"/>
      <w:r w:rsidRPr="00B34C75">
        <w:t>garantir</w:t>
      </w:r>
      <w:proofErr w:type="spellEnd"/>
      <w:r w:rsidRPr="00B34C75">
        <w:t xml:space="preserve"> </w:t>
      </w:r>
      <w:proofErr w:type="spellStart"/>
      <w:r w:rsidRPr="00B34C75">
        <w:t>une</w:t>
      </w:r>
      <w:proofErr w:type="spellEnd"/>
      <w:r w:rsidRPr="00B34C75">
        <w:t xml:space="preserve"> bonne </w:t>
      </w:r>
      <w:proofErr w:type="spellStart"/>
      <w:r w:rsidRPr="00B34C75">
        <w:t>compréhension</w:t>
      </w:r>
      <w:proofErr w:type="spellEnd"/>
      <w:r w:rsidRPr="00B34C75">
        <w:t xml:space="preserve"> du </w:t>
      </w:r>
      <w:proofErr w:type="spellStart"/>
      <w:r w:rsidRPr="00B34C75">
        <w:t>produit</w:t>
      </w:r>
      <w:proofErr w:type="spellEnd"/>
      <w:r w:rsidRPr="00B34C75">
        <w:t xml:space="preserve">, le </w:t>
      </w:r>
      <w:r w:rsidRPr="00AE70D5" w:rsidR="00AE70D5">
        <w:rPr>
          <w:highlight w:val="yellow"/>
        </w:rPr>
        <w:t xml:space="preserve">pays X </w:t>
      </w:r>
      <w:proofErr w:type="spellStart"/>
      <w:r w:rsidR="00AE70D5">
        <w:t>prévoit</w:t>
      </w:r>
      <w:proofErr w:type="spellEnd"/>
      <w:r w:rsidR="00AE70D5">
        <w:t xml:space="preserve"> de </w:t>
      </w:r>
      <w:proofErr w:type="spellStart"/>
      <w:r w:rsidR="00AE70D5">
        <w:t>travailler</w:t>
      </w:r>
      <w:proofErr w:type="spellEnd"/>
      <w:r w:rsidR="00AE70D5">
        <w:t xml:space="preserve"> </w:t>
      </w:r>
      <w:proofErr w:type="spellStart"/>
      <w:r w:rsidR="00AE70D5">
        <w:t>en</w:t>
      </w:r>
      <w:proofErr w:type="spellEnd"/>
      <w:r w:rsidR="00AE70D5">
        <w:t xml:space="preserve"> </w:t>
      </w:r>
      <w:proofErr w:type="spellStart"/>
      <w:r w:rsidR="00AE70D5">
        <w:t>étroite</w:t>
      </w:r>
      <w:proofErr w:type="spellEnd"/>
      <w:r w:rsidR="00AE70D5">
        <w:t xml:space="preserve"> collaboration </w:t>
      </w:r>
      <w:r w:rsidRPr="00B34C75">
        <w:t xml:space="preserve">avec les </w:t>
      </w:r>
      <w:proofErr w:type="spellStart"/>
      <w:r w:rsidRPr="00B34C75">
        <w:t>communautés</w:t>
      </w:r>
      <w:proofErr w:type="spellEnd"/>
      <w:r w:rsidRPr="00B34C75">
        <w:t xml:space="preserve">. </w:t>
      </w:r>
      <w:proofErr w:type="spellStart"/>
      <w:r w:rsidRPr="002E54A0" w:rsidR="002E54A0">
        <w:t>Grâce</w:t>
      </w:r>
      <w:proofErr w:type="spellEnd"/>
      <w:r w:rsidRPr="002E54A0" w:rsidR="002E54A0">
        <w:t xml:space="preserve"> à un engagement </w:t>
      </w:r>
      <w:proofErr w:type="spellStart"/>
      <w:r w:rsidRPr="002E54A0" w:rsidR="002E54A0">
        <w:t>actif</w:t>
      </w:r>
      <w:proofErr w:type="spellEnd"/>
      <w:r w:rsidRPr="002E54A0" w:rsidR="002E54A0">
        <w:t xml:space="preserve"> au </w:t>
      </w:r>
      <w:proofErr w:type="spellStart"/>
      <w:r w:rsidRPr="002E54A0" w:rsidR="002E54A0">
        <w:t>niveau</w:t>
      </w:r>
      <w:proofErr w:type="spellEnd"/>
      <w:r w:rsidRPr="002E54A0" w:rsidR="002E54A0">
        <w:t xml:space="preserve"> </w:t>
      </w:r>
      <w:proofErr w:type="spellStart"/>
      <w:r w:rsidRPr="002E54A0" w:rsidR="002E54A0">
        <w:t>mondial</w:t>
      </w:r>
      <w:proofErr w:type="spellEnd"/>
      <w:r w:rsidRPr="002E54A0" w:rsidR="002E54A0">
        <w:t xml:space="preserve"> et national</w:t>
      </w:r>
      <w:r w:rsidR="002E54A0">
        <w:t xml:space="preserve">, </w:t>
      </w:r>
      <w:r w:rsidRPr="000F6517" w:rsidR="000F6517">
        <w:t xml:space="preserve">le conseil </w:t>
      </w:r>
      <w:proofErr w:type="spellStart"/>
      <w:r w:rsidRPr="000F6517" w:rsidR="000F6517">
        <w:t>consultatif</w:t>
      </w:r>
      <w:proofErr w:type="spellEnd"/>
      <w:r w:rsidRPr="000F6517" w:rsidR="000F6517">
        <w:t xml:space="preserve"> </w:t>
      </w:r>
      <w:proofErr w:type="spellStart"/>
      <w:r w:rsidRPr="000F6517" w:rsidR="000F6517">
        <w:t>communautaire</w:t>
      </w:r>
      <w:proofErr w:type="spellEnd"/>
      <w:r w:rsidRPr="000F6517" w:rsidR="000F6517">
        <w:t xml:space="preserve"> (CCC) </w:t>
      </w:r>
      <w:proofErr w:type="spellStart"/>
      <w:r w:rsidRPr="000F6517" w:rsidR="000F6517">
        <w:t>dirigera</w:t>
      </w:r>
      <w:proofErr w:type="spellEnd"/>
      <w:r w:rsidRPr="000F6517" w:rsidR="000F6517">
        <w:t xml:space="preserve"> </w:t>
      </w:r>
      <w:proofErr w:type="spellStart"/>
      <w:r w:rsidRPr="000F6517" w:rsidR="000F6517">
        <w:t>l'élaboration</w:t>
      </w:r>
      <w:proofErr w:type="spellEnd"/>
      <w:r w:rsidRPr="000F6517" w:rsidR="000F6517">
        <w:t xml:space="preserve"> de matériel de formation au </w:t>
      </w:r>
      <w:proofErr w:type="spellStart"/>
      <w:r w:rsidRPr="000F6517" w:rsidR="000F6517">
        <w:t>traitement</w:t>
      </w:r>
      <w:proofErr w:type="spellEnd"/>
      <w:r w:rsidRPr="000F6517" w:rsidR="000F6517">
        <w:t xml:space="preserve"> pour les </w:t>
      </w:r>
      <w:proofErr w:type="spellStart"/>
      <w:r w:rsidRPr="000F6517" w:rsidR="000F6517">
        <w:t>communautés</w:t>
      </w:r>
      <w:proofErr w:type="spellEnd"/>
      <w:r w:rsidR="00CF7750">
        <w:t xml:space="preserve">. </w:t>
      </w:r>
    </w:p>
    <w:p w:rsidR="0037513C" w:rsidP="005B526B" w:rsidRDefault="0037513C" w14:paraId="72821DEA" w14:textId="7F9FF95F">
      <w:pPr>
        <w:jc w:val="both"/>
      </w:pPr>
      <w:proofErr w:type="spellStart"/>
      <w:r>
        <w:t>L'engagement</w:t>
      </w:r>
      <w:proofErr w:type="spellEnd"/>
      <w:r>
        <w:t xml:space="preserve"> du </w:t>
      </w:r>
      <w:r w:rsidRPr="00683A9C">
        <w:rPr>
          <w:highlight w:val="yellow"/>
        </w:rPr>
        <w:t xml:space="preserve">pays X </w:t>
      </w:r>
      <w:proofErr w:type="spellStart"/>
      <w:r w:rsidRPr="00683A9C">
        <w:rPr>
          <w:highlight w:val="yellow"/>
        </w:rPr>
        <w:t>envers</w:t>
      </w:r>
      <w:proofErr w:type="spellEnd"/>
      <w:r w:rsidRPr="00683A9C">
        <w:rPr>
          <w:highlight w:val="yellow"/>
        </w:rPr>
        <w:t xml:space="preserve"> </w:t>
      </w:r>
      <w:r>
        <w:t xml:space="preserve">la </w:t>
      </w:r>
      <w:proofErr w:type="spellStart"/>
      <w:r>
        <w:t>communauté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résumé dans le </w:t>
      </w:r>
      <w:r w:rsidR="00451804">
        <w:t xml:space="preserve">tableau 7 ci-dessous : </w:t>
      </w:r>
    </w:p>
    <w:p w:rsidRPr="00FB49B8" w:rsidR="00FB49B8" w:rsidP="005B526B" w:rsidRDefault="00451804" w14:paraId="2E54BE85" w14:textId="1BFD670C">
      <w:pPr>
        <w:jc w:val="both"/>
      </w:pPr>
      <w:commentRangeStart w:id="8"/>
      <w:commentRangeEnd w:id="8"/>
      <w:r>
        <w:rPr>
          <w:rStyle w:val="CommentReference"/>
        </w:rPr>
        <w:commentReference w:id="8"/>
      </w:r>
      <w:r w:rsidRPr="002162B7" w:rsidR="002162B7">
        <w:rPr>
          <w:noProof/>
        </w:rPr>
        <w:drawing>
          <wp:inline distT="0" distB="0" distL="0" distR="0" wp14:anchorId="6367044F" wp14:editId="533441DF">
            <wp:extent cx="5943600" cy="1747520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62853" w:rsidR="005519CF" w:rsidP="00370DC1" w:rsidRDefault="005519CF" w14:paraId="67CD040D" w14:textId="4B542B5A">
      <w:pPr>
        <w:pStyle w:val="Heading1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proofErr w:type="spellStart"/>
      <w:r w:rsidRPr="00962853">
        <w:rPr>
          <w:rFonts w:asciiTheme="minorHAnsi" w:hAnsiTheme="minorHAnsi" w:cstheme="minorHAnsi"/>
        </w:rPr>
        <w:t>Suivi</w:t>
      </w:r>
      <w:proofErr w:type="spellEnd"/>
      <w:r w:rsidRPr="00962853">
        <w:rPr>
          <w:rFonts w:asciiTheme="minorHAnsi" w:hAnsiTheme="minorHAnsi" w:cstheme="minorHAnsi"/>
        </w:rPr>
        <w:t xml:space="preserve"> </w:t>
      </w:r>
      <w:r w:rsidR="008E08B3">
        <w:rPr>
          <w:rFonts w:asciiTheme="minorHAnsi" w:hAnsiTheme="minorHAnsi" w:cstheme="minorHAnsi"/>
        </w:rPr>
        <w:t xml:space="preserve">et </w:t>
      </w:r>
      <w:proofErr w:type="spellStart"/>
      <w:r w:rsidR="008E08B3">
        <w:rPr>
          <w:rFonts w:asciiTheme="minorHAnsi" w:hAnsiTheme="minorHAnsi" w:cstheme="minorHAnsi"/>
        </w:rPr>
        <w:t>évaluation</w:t>
      </w:r>
      <w:proofErr w:type="spellEnd"/>
    </w:p>
    <w:p w:rsidRPr="00962853" w:rsidR="005519CF" w:rsidP="00370DC1" w:rsidRDefault="005519CF" w14:paraId="7ACA9991" w14:textId="5E70572F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  <w:r w:rsidRPr="00962853">
        <w:rPr>
          <w:rFonts w:cstheme="minorHAnsi"/>
          <w:bCs/>
          <w:sz w:val="22"/>
          <w:szCs w:val="22"/>
        </w:rPr>
        <w:t xml:space="preserve">Il </w:t>
      </w:r>
      <w:proofErr w:type="spellStart"/>
      <w:r w:rsidRPr="00962853">
        <w:rPr>
          <w:rFonts w:cstheme="minorHAnsi"/>
          <w:bCs/>
          <w:sz w:val="22"/>
          <w:szCs w:val="22"/>
        </w:rPr>
        <w:t>est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important de </w:t>
      </w:r>
      <w:proofErr w:type="spellStart"/>
      <w:r w:rsidRPr="00962853">
        <w:rPr>
          <w:rFonts w:cstheme="minorHAnsi"/>
          <w:bCs/>
          <w:sz w:val="22"/>
          <w:szCs w:val="22"/>
        </w:rPr>
        <w:t>surveiller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attentivement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le stock disponible et les </w:t>
      </w:r>
      <w:proofErr w:type="spellStart"/>
      <w:r w:rsidRPr="00962853">
        <w:rPr>
          <w:rFonts w:cstheme="minorHAnsi"/>
          <w:bCs/>
          <w:sz w:val="22"/>
          <w:szCs w:val="22"/>
        </w:rPr>
        <w:t>taux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bCs/>
          <w:sz w:val="22"/>
          <w:szCs w:val="22"/>
        </w:rPr>
        <w:t>consommation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avant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et pendant la transition, car </w:t>
      </w:r>
      <w:proofErr w:type="spellStart"/>
      <w:r w:rsidRPr="00962853">
        <w:rPr>
          <w:rFonts w:cstheme="minorHAnsi"/>
          <w:bCs/>
          <w:sz w:val="22"/>
          <w:szCs w:val="22"/>
        </w:rPr>
        <w:t>l'intensification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bCs/>
          <w:sz w:val="22"/>
          <w:szCs w:val="22"/>
        </w:rPr>
        <w:t>l'</w:t>
      </w:r>
      <w:r w:rsidRPr="00962853" w:rsidR="00E726A2">
        <w:rPr>
          <w:rFonts w:cstheme="minorHAnsi"/>
          <w:bCs/>
          <w:sz w:val="22"/>
          <w:szCs w:val="22"/>
        </w:rPr>
        <w:t>orientation</w:t>
      </w:r>
      <w:proofErr w:type="spellEnd"/>
      <w:r w:rsidRPr="00962853" w:rsidR="00E726A2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pourrait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modifier les </w:t>
      </w:r>
      <w:proofErr w:type="spellStart"/>
      <w:r w:rsidRPr="00962853">
        <w:rPr>
          <w:rFonts w:cstheme="minorHAnsi"/>
          <w:bCs/>
          <w:sz w:val="22"/>
          <w:szCs w:val="22"/>
        </w:rPr>
        <w:t>taux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bCs/>
          <w:sz w:val="22"/>
          <w:szCs w:val="22"/>
        </w:rPr>
        <w:t>consommation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r w:rsidRPr="00962853">
        <w:rPr>
          <w:rFonts w:cstheme="minorHAnsi"/>
          <w:bCs/>
          <w:sz w:val="22"/>
          <w:szCs w:val="22"/>
        </w:rPr>
        <w:lastRenderedPageBreak/>
        <w:t xml:space="preserve">dans le pays. </w:t>
      </w:r>
      <w:proofErr w:type="spellStart"/>
      <w:r w:rsidRPr="00962853">
        <w:rPr>
          <w:rFonts w:cstheme="minorHAnsi"/>
          <w:bCs/>
          <w:sz w:val="22"/>
          <w:szCs w:val="22"/>
        </w:rPr>
        <w:t>L'utilisation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des </w:t>
      </w:r>
      <w:proofErr w:type="spellStart"/>
      <w:r w:rsidRPr="00962853">
        <w:rPr>
          <w:rFonts w:cstheme="minorHAnsi"/>
          <w:bCs/>
          <w:sz w:val="22"/>
          <w:szCs w:val="22"/>
        </w:rPr>
        <w:t>produits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sera </w:t>
      </w:r>
      <w:proofErr w:type="spellStart"/>
      <w:r w:rsidRPr="00962853">
        <w:rPr>
          <w:rFonts w:cstheme="minorHAnsi"/>
          <w:bCs/>
          <w:sz w:val="22"/>
          <w:szCs w:val="22"/>
        </w:rPr>
        <w:t>surveillée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à </w:t>
      </w:r>
      <w:proofErr w:type="spellStart"/>
      <w:r w:rsidRPr="00962853">
        <w:rPr>
          <w:rFonts w:cstheme="minorHAnsi"/>
          <w:bCs/>
          <w:sz w:val="22"/>
          <w:szCs w:val="22"/>
        </w:rPr>
        <w:t>l'aide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bCs/>
          <w:sz w:val="22"/>
          <w:szCs w:val="22"/>
        </w:rPr>
        <w:t>l'outil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r w:rsidRPr="007F5C54" w:rsidR="00164074">
        <w:rPr>
          <w:rFonts w:cstheme="minorHAnsi"/>
          <w:bCs/>
          <w:i/>
          <w:iCs/>
          <w:sz w:val="22"/>
          <w:szCs w:val="22"/>
          <w:highlight w:val="yellow"/>
        </w:rPr>
        <w:t xml:space="preserve">XYZ </w:t>
      </w:r>
      <w:r w:rsidRPr="00962853">
        <w:rPr>
          <w:rFonts w:cstheme="minorHAnsi"/>
          <w:bCs/>
          <w:sz w:val="22"/>
          <w:szCs w:val="22"/>
        </w:rPr>
        <w:t xml:space="preserve">sur </w:t>
      </w:r>
      <w:proofErr w:type="spellStart"/>
      <w:r w:rsidRPr="00962853">
        <w:rPr>
          <w:rFonts w:cstheme="minorHAnsi"/>
          <w:bCs/>
          <w:sz w:val="22"/>
          <w:szCs w:val="22"/>
        </w:rPr>
        <w:t>une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base </w:t>
      </w:r>
      <w:proofErr w:type="spellStart"/>
      <w:r w:rsidRPr="00962853">
        <w:rPr>
          <w:rFonts w:cstheme="minorHAnsi"/>
          <w:bCs/>
          <w:sz w:val="22"/>
          <w:szCs w:val="22"/>
        </w:rPr>
        <w:t>bimensuelle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. La </w:t>
      </w:r>
      <w:proofErr w:type="spellStart"/>
      <w:r w:rsidRPr="00962853">
        <w:rPr>
          <w:rFonts w:cstheme="minorHAnsi"/>
          <w:bCs/>
          <w:sz w:val="22"/>
          <w:szCs w:val="22"/>
        </w:rPr>
        <w:t>disponibilité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des stocks dans les entrepôts sera contrôlée à </w:t>
      </w:r>
      <w:proofErr w:type="spellStart"/>
      <w:r w:rsidRPr="00962853">
        <w:rPr>
          <w:rFonts w:cstheme="minorHAnsi"/>
          <w:bCs/>
          <w:sz w:val="22"/>
          <w:szCs w:val="22"/>
        </w:rPr>
        <w:t>l'aide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des </w:t>
      </w:r>
      <w:r w:rsidRPr="007F5C54">
        <w:rPr>
          <w:rFonts w:cstheme="minorHAnsi"/>
          <w:bCs/>
          <w:i/>
          <w:iCs/>
          <w:sz w:val="22"/>
          <w:szCs w:val="22"/>
          <w:highlight w:val="yellow"/>
        </w:rPr>
        <w:t xml:space="preserve">rapports sur </w:t>
      </w:r>
      <w:proofErr w:type="spellStart"/>
      <w:r w:rsidRPr="007F5C54">
        <w:rPr>
          <w:rFonts w:cstheme="minorHAnsi"/>
          <w:bCs/>
          <w:i/>
          <w:iCs/>
          <w:sz w:val="22"/>
          <w:szCs w:val="22"/>
          <w:highlight w:val="yellow"/>
        </w:rPr>
        <w:t>l'état</w:t>
      </w:r>
      <w:proofErr w:type="spellEnd"/>
      <w:r w:rsidRPr="007F5C54">
        <w:rPr>
          <w:rFonts w:cstheme="minorHAnsi"/>
          <w:bCs/>
          <w:i/>
          <w:iCs/>
          <w:sz w:val="22"/>
          <w:szCs w:val="22"/>
          <w:highlight w:val="yellow"/>
        </w:rPr>
        <w:t xml:space="preserve"> des stocks au </w:t>
      </w:r>
      <w:proofErr w:type="spellStart"/>
      <w:r w:rsidRPr="007F5C54">
        <w:rPr>
          <w:rFonts w:cstheme="minorHAnsi"/>
          <w:bCs/>
          <w:i/>
          <w:iCs/>
          <w:sz w:val="22"/>
          <w:szCs w:val="22"/>
          <w:highlight w:val="yellow"/>
        </w:rPr>
        <w:t>niveau</w:t>
      </w:r>
      <w:proofErr w:type="spellEnd"/>
      <w:r w:rsidRPr="007F5C54">
        <w:rPr>
          <w:rFonts w:cstheme="minorHAnsi"/>
          <w:bCs/>
          <w:i/>
          <w:iCs/>
          <w:sz w:val="22"/>
          <w:szCs w:val="22"/>
          <w:highlight w:val="yellow"/>
        </w:rPr>
        <w:t xml:space="preserve"> central </w:t>
      </w:r>
      <w:r w:rsidRPr="00962853">
        <w:rPr>
          <w:rFonts w:cstheme="minorHAnsi"/>
          <w:bCs/>
          <w:sz w:val="22"/>
          <w:szCs w:val="22"/>
        </w:rPr>
        <w:t xml:space="preserve">et </w:t>
      </w:r>
      <w:proofErr w:type="spellStart"/>
      <w:r w:rsidRPr="00962853">
        <w:rPr>
          <w:rFonts w:cstheme="minorHAnsi"/>
          <w:bCs/>
          <w:sz w:val="22"/>
          <w:szCs w:val="22"/>
        </w:rPr>
        <w:t>toute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intervention </w:t>
      </w:r>
      <w:proofErr w:type="spellStart"/>
      <w:r w:rsidRPr="00962853">
        <w:rPr>
          <w:rFonts w:cstheme="minorHAnsi"/>
          <w:bCs/>
          <w:sz w:val="22"/>
          <w:szCs w:val="22"/>
        </w:rPr>
        <w:t>visant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à augmenter </w:t>
      </w:r>
      <w:proofErr w:type="spellStart"/>
      <w:r w:rsidRPr="00962853">
        <w:rPr>
          <w:rFonts w:cstheme="minorHAnsi"/>
          <w:bCs/>
          <w:sz w:val="22"/>
          <w:szCs w:val="22"/>
        </w:rPr>
        <w:t>ou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à </w:t>
      </w:r>
      <w:proofErr w:type="spellStart"/>
      <w:r w:rsidRPr="00962853">
        <w:rPr>
          <w:rFonts w:cstheme="minorHAnsi"/>
          <w:bCs/>
          <w:sz w:val="22"/>
          <w:szCs w:val="22"/>
        </w:rPr>
        <w:t>réduire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l'approvisionnement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central </w:t>
      </w:r>
      <w:proofErr w:type="spellStart"/>
      <w:r w:rsidRPr="00962853">
        <w:rPr>
          <w:rFonts w:cstheme="minorHAnsi"/>
          <w:bCs/>
          <w:sz w:val="22"/>
          <w:szCs w:val="22"/>
        </w:rPr>
        <w:t>en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fonction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962853">
        <w:rPr>
          <w:rFonts w:cstheme="minorHAnsi"/>
          <w:bCs/>
          <w:sz w:val="22"/>
          <w:szCs w:val="22"/>
        </w:rPr>
        <w:t>l'utilisation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des </w:t>
      </w:r>
      <w:proofErr w:type="spellStart"/>
      <w:r w:rsidRPr="00962853">
        <w:rPr>
          <w:rFonts w:cstheme="minorHAnsi"/>
          <w:bCs/>
          <w:sz w:val="22"/>
          <w:szCs w:val="22"/>
        </w:rPr>
        <w:t>produits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fera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l'objet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d'un brainstorming </w:t>
      </w:r>
      <w:proofErr w:type="spellStart"/>
      <w:r w:rsidRPr="00962853">
        <w:rPr>
          <w:rFonts w:cstheme="minorHAnsi"/>
          <w:bCs/>
          <w:sz w:val="22"/>
          <w:szCs w:val="22"/>
        </w:rPr>
        <w:t>lors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des </w:t>
      </w:r>
      <w:proofErr w:type="spellStart"/>
      <w:r w:rsidRPr="00962853">
        <w:rPr>
          <w:rFonts w:cstheme="minorHAnsi"/>
          <w:bCs/>
          <w:sz w:val="22"/>
          <w:szCs w:val="22"/>
        </w:rPr>
        <w:t>réunions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mensuelles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du </w:t>
      </w:r>
      <w:proofErr w:type="spellStart"/>
      <w:r w:rsidRPr="007F5C54" w:rsidR="009C25C5">
        <w:rPr>
          <w:rFonts w:cstheme="minorHAnsi"/>
          <w:bCs/>
          <w:sz w:val="22"/>
          <w:szCs w:val="22"/>
          <w:highlight w:val="yellow"/>
        </w:rPr>
        <w:t>groupe</w:t>
      </w:r>
      <w:proofErr w:type="spellEnd"/>
      <w:r w:rsidRPr="007F5C54" w:rsidR="009C25C5">
        <w:rPr>
          <w:rFonts w:cstheme="minorHAnsi"/>
          <w:bCs/>
          <w:sz w:val="22"/>
          <w:szCs w:val="22"/>
          <w:highlight w:val="yellow"/>
        </w:rPr>
        <w:t xml:space="preserve"> sur la </w:t>
      </w:r>
      <w:proofErr w:type="spellStart"/>
      <w:r w:rsidRPr="007F5C54" w:rsidR="009C25C5">
        <w:rPr>
          <w:rFonts w:cstheme="minorHAnsi"/>
          <w:bCs/>
          <w:sz w:val="22"/>
          <w:szCs w:val="22"/>
          <w:highlight w:val="yellow"/>
        </w:rPr>
        <w:t>sécurité</w:t>
      </w:r>
      <w:proofErr w:type="spellEnd"/>
      <w:r w:rsidRPr="007F5C54" w:rsidR="009C25C5">
        <w:rPr>
          <w:rFonts w:cstheme="minorHAnsi"/>
          <w:bCs/>
          <w:sz w:val="22"/>
          <w:szCs w:val="22"/>
          <w:highlight w:val="yellow"/>
        </w:rPr>
        <w:t xml:space="preserve"> des </w:t>
      </w:r>
      <w:proofErr w:type="spellStart"/>
      <w:r w:rsidRPr="007F5C54" w:rsidR="009C25C5">
        <w:rPr>
          <w:rFonts w:cstheme="minorHAnsi"/>
          <w:bCs/>
          <w:sz w:val="22"/>
          <w:szCs w:val="22"/>
          <w:highlight w:val="yellow"/>
        </w:rPr>
        <w:t>produits</w:t>
      </w:r>
      <w:proofErr w:type="spellEnd"/>
      <w:r w:rsidRPr="007F5C54" w:rsidR="009C25C5">
        <w:rPr>
          <w:rFonts w:cstheme="minorHAnsi"/>
          <w:bCs/>
          <w:sz w:val="22"/>
          <w:szCs w:val="22"/>
          <w:highlight w:val="yellow"/>
        </w:rPr>
        <w:t xml:space="preserve">. La </w:t>
      </w:r>
      <w:proofErr w:type="spellStart"/>
      <w:r w:rsidRPr="007F5C54" w:rsidR="009C25C5">
        <w:rPr>
          <w:rFonts w:cstheme="minorHAnsi"/>
          <w:bCs/>
          <w:sz w:val="22"/>
          <w:szCs w:val="22"/>
          <w:highlight w:val="yellow"/>
        </w:rPr>
        <w:t>disponibilité</w:t>
      </w:r>
      <w:proofErr w:type="spellEnd"/>
      <w:r w:rsidRPr="007F5C54" w:rsidR="009C25C5">
        <w:rPr>
          <w:rFonts w:cstheme="minorHAnsi"/>
          <w:bCs/>
          <w:sz w:val="22"/>
          <w:szCs w:val="22"/>
          <w:highlight w:val="yellow"/>
        </w:rPr>
        <w:t xml:space="preserve"> des stocks dans </w:t>
      </w:r>
      <w:r w:rsidRPr="007F5C54">
        <w:rPr>
          <w:rFonts w:cstheme="minorHAnsi"/>
          <w:bCs/>
          <w:sz w:val="22"/>
          <w:szCs w:val="22"/>
          <w:highlight w:val="yellow"/>
        </w:rPr>
        <w:t xml:space="preserve">les installations sera contrôlée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tous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les deux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mois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à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l'aide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des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données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</w:t>
      </w:r>
      <w:r w:rsidRPr="007F5C54" w:rsidR="00887D81">
        <w:rPr>
          <w:rFonts w:cstheme="minorHAnsi"/>
          <w:bCs/>
          <w:i/>
          <w:iCs/>
          <w:sz w:val="22"/>
          <w:szCs w:val="22"/>
          <w:highlight w:val="yellow"/>
        </w:rPr>
        <w:t xml:space="preserve">XYZ. La </w:t>
      </w:r>
      <w:r w:rsidRPr="00962853">
        <w:rPr>
          <w:rFonts w:cstheme="minorHAnsi"/>
          <w:bCs/>
          <w:sz w:val="22"/>
          <w:szCs w:val="22"/>
        </w:rPr>
        <w:t xml:space="preserve">redistribution des stocks pour </w:t>
      </w:r>
      <w:proofErr w:type="spellStart"/>
      <w:r w:rsidRPr="00962853">
        <w:rPr>
          <w:rFonts w:cstheme="minorHAnsi"/>
          <w:bCs/>
          <w:sz w:val="22"/>
          <w:szCs w:val="22"/>
        </w:rPr>
        <w:t>éviter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les ruptures de stock </w:t>
      </w:r>
      <w:proofErr w:type="spellStart"/>
      <w:r w:rsidRPr="00962853">
        <w:rPr>
          <w:rFonts w:cstheme="minorHAnsi"/>
          <w:bCs/>
          <w:sz w:val="22"/>
          <w:szCs w:val="22"/>
        </w:rPr>
        <w:t>ou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le </w:t>
      </w:r>
      <w:proofErr w:type="spellStart"/>
      <w:r w:rsidRPr="00962853">
        <w:rPr>
          <w:rFonts w:cstheme="minorHAnsi"/>
          <w:bCs/>
          <w:sz w:val="22"/>
          <w:szCs w:val="22"/>
        </w:rPr>
        <w:t>gaspillage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sera </w:t>
      </w:r>
      <w:proofErr w:type="spellStart"/>
      <w:r w:rsidRPr="00962853">
        <w:rPr>
          <w:rFonts w:cstheme="minorHAnsi"/>
          <w:bCs/>
          <w:sz w:val="22"/>
          <w:szCs w:val="22"/>
        </w:rPr>
        <w:t>recommandée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sur la base de </w:t>
      </w:r>
      <w:proofErr w:type="spellStart"/>
      <w:r w:rsidRPr="00962853">
        <w:rPr>
          <w:rFonts w:cstheme="minorHAnsi"/>
          <w:bCs/>
          <w:sz w:val="22"/>
          <w:szCs w:val="22"/>
        </w:rPr>
        <w:t>ces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données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. Le </w:t>
      </w:r>
      <w:proofErr w:type="spellStart"/>
      <w:r w:rsidRPr="00962853">
        <w:rPr>
          <w:rFonts w:cstheme="minorHAnsi"/>
          <w:bCs/>
          <w:sz w:val="22"/>
          <w:szCs w:val="22"/>
        </w:rPr>
        <w:t>suivi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est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particulièrement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important </w:t>
      </w:r>
      <w:proofErr w:type="spellStart"/>
      <w:r w:rsidRPr="00962853">
        <w:rPr>
          <w:rFonts w:cstheme="minorHAnsi"/>
          <w:bCs/>
          <w:sz w:val="22"/>
          <w:szCs w:val="22"/>
        </w:rPr>
        <w:t>étant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donné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le volume </w:t>
      </w:r>
      <w:proofErr w:type="spellStart"/>
      <w:r w:rsidRPr="00962853">
        <w:rPr>
          <w:rFonts w:cstheme="minorHAnsi"/>
          <w:bCs/>
          <w:sz w:val="22"/>
          <w:szCs w:val="22"/>
        </w:rPr>
        <w:t>élevé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de patients qui </w:t>
      </w:r>
      <w:proofErr w:type="spellStart"/>
      <w:r w:rsidRPr="00962853">
        <w:rPr>
          <w:rFonts w:cstheme="minorHAnsi"/>
          <w:bCs/>
          <w:sz w:val="22"/>
          <w:szCs w:val="22"/>
        </w:rPr>
        <w:t>seront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transférés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ou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62853">
        <w:rPr>
          <w:rFonts w:cstheme="minorHAnsi"/>
          <w:bCs/>
          <w:sz w:val="22"/>
          <w:szCs w:val="22"/>
        </w:rPr>
        <w:t>initiés</w:t>
      </w:r>
      <w:proofErr w:type="spellEnd"/>
      <w:r w:rsidRPr="00962853">
        <w:rPr>
          <w:rFonts w:cstheme="minorHAnsi"/>
          <w:bCs/>
          <w:sz w:val="22"/>
          <w:szCs w:val="22"/>
        </w:rPr>
        <w:t xml:space="preserve"> au </w:t>
      </w:r>
      <w:r w:rsidR="00647FBF">
        <w:rPr>
          <w:rFonts w:cstheme="minorHAnsi"/>
          <w:bCs/>
          <w:sz w:val="22"/>
          <w:szCs w:val="22"/>
        </w:rPr>
        <w:t>pDTG</w:t>
      </w:r>
      <w:r w:rsidRPr="00962853">
        <w:rPr>
          <w:rFonts w:cstheme="minorHAnsi"/>
          <w:bCs/>
          <w:sz w:val="22"/>
          <w:szCs w:val="22"/>
        </w:rPr>
        <w:t>.</w:t>
      </w:r>
    </w:p>
    <w:p w:rsidRPr="00962853" w:rsidR="00BC2B0A" w:rsidP="00370DC1" w:rsidRDefault="00BC2B0A" w14:paraId="49724371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Pr="00962853" w:rsidR="00BC2B0A" w:rsidP="00370DC1" w:rsidRDefault="00BC2B0A" w14:paraId="3F9211F4" w14:textId="770FF1B6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  <w:r w:rsidRPr="007F5C54">
        <w:rPr>
          <w:rFonts w:cstheme="minorHAnsi"/>
          <w:bCs/>
          <w:sz w:val="22"/>
          <w:szCs w:val="22"/>
          <w:highlight w:val="yellow"/>
        </w:rPr>
        <w:t xml:space="preserve">Les installations de la </w:t>
      </w:r>
      <w:r w:rsidRPr="007F5C54" w:rsidR="00A01699">
        <w:rPr>
          <w:rFonts w:cstheme="minorHAnsi"/>
          <w:bCs/>
          <w:sz w:val="22"/>
          <w:szCs w:val="22"/>
          <w:highlight w:val="yellow"/>
        </w:rPr>
        <w:t xml:space="preserve">phase </w:t>
      </w:r>
      <w:r w:rsidRPr="007F5C54" w:rsidR="009C25C5">
        <w:rPr>
          <w:rFonts w:cstheme="minorHAnsi"/>
          <w:bCs/>
          <w:sz w:val="22"/>
          <w:szCs w:val="22"/>
          <w:highlight w:val="yellow"/>
        </w:rPr>
        <w:t xml:space="preserve">I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seront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prioritaires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pour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toutes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les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activités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d'</w:t>
      </w:r>
      <w:r w:rsidRPr="007F5C54" w:rsidR="00E726A2">
        <w:rPr>
          <w:rFonts w:cstheme="minorHAnsi"/>
          <w:bCs/>
          <w:sz w:val="22"/>
          <w:szCs w:val="22"/>
          <w:highlight w:val="yellow"/>
        </w:rPr>
        <w:t>orientation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, de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mentorat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et de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suivi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afin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de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garantir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une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introduction sans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heurts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 xml:space="preserve"> du </w:t>
      </w:r>
      <w:proofErr w:type="spellStart"/>
      <w:r w:rsidRPr="007F5C54">
        <w:rPr>
          <w:rFonts w:cstheme="minorHAnsi"/>
          <w:bCs/>
          <w:sz w:val="22"/>
          <w:szCs w:val="22"/>
          <w:highlight w:val="yellow"/>
        </w:rPr>
        <w:t>produit</w:t>
      </w:r>
      <w:proofErr w:type="spellEnd"/>
      <w:r w:rsidRPr="007F5C54">
        <w:rPr>
          <w:rFonts w:cstheme="minorHAnsi"/>
          <w:bCs/>
          <w:sz w:val="22"/>
          <w:szCs w:val="22"/>
          <w:highlight w:val="yellow"/>
        </w:rPr>
        <w:t>.</w:t>
      </w:r>
    </w:p>
    <w:p w:rsidRPr="00962853" w:rsidR="00815B11" w:rsidP="00370DC1" w:rsidRDefault="00815B11" w14:paraId="61C7978E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Pr="00CE74EF" w:rsidR="00815B11" w:rsidP="00370DC1" w:rsidRDefault="00815B11" w14:paraId="410DFB3A" w14:textId="77777777">
      <w:pPr>
        <w:pStyle w:val="EndnoteText"/>
        <w:spacing w:line="276" w:lineRule="auto"/>
        <w:jc w:val="both"/>
        <w:rPr>
          <w:rFonts w:cstheme="minorHAnsi"/>
          <w:bCs/>
          <w:i/>
          <w:iCs/>
          <w:sz w:val="22"/>
          <w:szCs w:val="22"/>
        </w:rPr>
      </w:pPr>
      <w:r w:rsidRPr="00CE74EF">
        <w:rPr>
          <w:rFonts w:cstheme="minorHAnsi"/>
          <w:bCs/>
          <w:i/>
          <w:iCs/>
          <w:sz w:val="22"/>
          <w:szCs w:val="22"/>
        </w:rPr>
        <w:t xml:space="preserve">Un résumé de </w:t>
      </w:r>
      <w:proofErr w:type="spellStart"/>
      <w:r w:rsidRPr="00CE74EF">
        <w:rPr>
          <w:rFonts w:cstheme="minorHAnsi"/>
          <w:bCs/>
          <w:i/>
          <w:iCs/>
          <w:sz w:val="22"/>
          <w:szCs w:val="22"/>
        </w:rPr>
        <w:t>toutes</w:t>
      </w:r>
      <w:proofErr w:type="spellEnd"/>
      <w:r w:rsidRPr="00CE74EF">
        <w:rPr>
          <w:rFonts w:cstheme="minorHAnsi"/>
          <w:bCs/>
          <w:i/>
          <w:iCs/>
          <w:sz w:val="22"/>
          <w:szCs w:val="22"/>
        </w:rPr>
        <w:t xml:space="preserve"> </w:t>
      </w:r>
      <w:proofErr w:type="spellStart"/>
      <w:r w:rsidRPr="00CE74EF">
        <w:rPr>
          <w:rFonts w:cstheme="minorHAnsi"/>
          <w:bCs/>
          <w:i/>
          <w:iCs/>
          <w:sz w:val="22"/>
          <w:szCs w:val="22"/>
        </w:rPr>
        <w:t>les</w:t>
      </w:r>
      <w:commentRangeStart w:id="9"/>
      <w:commentRangeEnd w:id="9"/>
      <w:r w:rsidR="002876AE">
        <w:rPr>
          <w:rStyle w:val="CommentReference"/>
        </w:rPr>
        <w:commentReference w:id="9"/>
      </w:r>
      <w:r w:rsidRPr="00CE74EF">
        <w:rPr>
          <w:rFonts w:cstheme="minorHAnsi"/>
          <w:bCs/>
          <w:i/>
          <w:iCs/>
          <w:sz w:val="22"/>
          <w:szCs w:val="22"/>
        </w:rPr>
        <w:t>activités</w:t>
      </w:r>
      <w:proofErr w:type="spellEnd"/>
      <w:r w:rsidRPr="00CE74EF">
        <w:rPr>
          <w:rFonts w:cstheme="minorHAnsi"/>
          <w:bCs/>
          <w:i/>
          <w:iCs/>
          <w:sz w:val="22"/>
          <w:szCs w:val="22"/>
        </w:rPr>
        <w:t xml:space="preserve"> de surveillance des </w:t>
      </w:r>
      <w:proofErr w:type="spellStart"/>
      <w:r w:rsidRPr="00CE74EF">
        <w:rPr>
          <w:rFonts w:cstheme="minorHAnsi"/>
          <w:bCs/>
          <w:i/>
          <w:iCs/>
          <w:sz w:val="22"/>
          <w:szCs w:val="22"/>
        </w:rPr>
        <w:t>produits</w:t>
      </w:r>
      <w:proofErr w:type="spellEnd"/>
      <w:r w:rsidRPr="00CE74EF">
        <w:rPr>
          <w:rFonts w:cstheme="minorHAnsi"/>
          <w:bCs/>
          <w:i/>
          <w:iCs/>
          <w:sz w:val="22"/>
          <w:szCs w:val="22"/>
        </w:rPr>
        <w:t xml:space="preserve"> pendant la durée de la transition de la DTG </w:t>
      </w:r>
      <w:proofErr w:type="spellStart"/>
      <w:r w:rsidRPr="00CE74EF">
        <w:rPr>
          <w:rFonts w:cstheme="minorHAnsi"/>
          <w:bCs/>
          <w:i/>
          <w:iCs/>
          <w:sz w:val="22"/>
          <w:szCs w:val="22"/>
        </w:rPr>
        <w:t>est</w:t>
      </w:r>
      <w:proofErr w:type="spellEnd"/>
      <w:r w:rsidRPr="00CE74EF">
        <w:rPr>
          <w:rFonts w:cstheme="minorHAnsi"/>
          <w:bCs/>
          <w:i/>
          <w:iCs/>
          <w:sz w:val="22"/>
          <w:szCs w:val="22"/>
        </w:rPr>
        <w:t xml:space="preserve"> </w:t>
      </w:r>
      <w:proofErr w:type="spellStart"/>
      <w:r w:rsidRPr="00CE74EF">
        <w:rPr>
          <w:rFonts w:cstheme="minorHAnsi"/>
          <w:bCs/>
          <w:i/>
          <w:iCs/>
          <w:sz w:val="22"/>
          <w:szCs w:val="22"/>
        </w:rPr>
        <w:t>présenté</w:t>
      </w:r>
      <w:proofErr w:type="spellEnd"/>
      <w:r w:rsidRPr="00CE74EF">
        <w:rPr>
          <w:rFonts w:cstheme="minorHAnsi"/>
          <w:bCs/>
          <w:i/>
          <w:iCs/>
          <w:sz w:val="22"/>
          <w:szCs w:val="22"/>
        </w:rPr>
        <w:t xml:space="preserve"> ci-dessous :</w:t>
      </w:r>
    </w:p>
    <w:p w:rsidRPr="00CE74EF" w:rsidR="00815B11" w:rsidP="00370DC1" w:rsidRDefault="00815B11" w14:paraId="506BB557" w14:textId="77777777">
      <w:pPr>
        <w:pStyle w:val="EndnoteText"/>
        <w:spacing w:line="276" w:lineRule="auto"/>
        <w:jc w:val="both"/>
        <w:rPr>
          <w:rFonts w:cstheme="minorHAnsi"/>
          <w:bCs/>
          <w:i/>
          <w:i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520"/>
      </w:tblGrid>
      <w:tr w:rsidRPr="00CE74EF" w:rsidR="00815B11" w:rsidTr="009C25C5" w14:paraId="6F61C8C8" w14:textId="77777777">
        <w:tc>
          <w:tcPr>
            <w:tcW w:w="2830" w:type="dxa"/>
            <w:shd w:val="clear" w:color="auto" w:fill="012169"/>
          </w:tcPr>
          <w:p w:rsidRPr="00CE74EF" w:rsidR="00815B11" w:rsidP="00370DC1" w:rsidRDefault="00815B11" w14:paraId="4F189934" w14:textId="77777777">
            <w:pPr>
              <w:pStyle w:val="EndnoteText"/>
              <w:spacing w:line="276" w:lineRule="auto"/>
              <w:jc w:val="both"/>
              <w:rPr>
                <w:rFonts w:cstheme="minorHAnsi"/>
                <w:b/>
                <w:bCs/>
                <w:i/>
                <w:iCs/>
                <w:sz w:val="22"/>
                <w:szCs w:val="22"/>
              </w:rPr>
            </w:pPr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Zone de surveillance</w:t>
            </w:r>
          </w:p>
        </w:tc>
        <w:tc>
          <w:tcPr>
            <w:tcW w:w="6520" w:type="dxa"/>
            <w:shd w:val="clear" w:color="auto" w:fill="012169"/>
          </w:tcPr>
          <w:p w:rsidRPr="00CE74EF" w:rsidR="00815B11" w:rsidP="00370DC1" w:rsidRDefault="00815B11" w14:paraId="7DBA4E7B" w14:textId="77777777">
            <w:pPr>
              <w:pStyle w:val="EndnoteText"/>
              <w:spacing w:line="276" w:lineRule="auto"/>
              <w:jc w:val="both"/>
              <w:rPr>
                <w:rFonts w:cstheme="minorHAnsi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Outils</w:t>
            </w:r>
            <w:proofErr w:type="spellEnd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suivi</w:t>
            </w:r>
            <w:proofErr w:type="spellEnd"/>
          </w:p>
        </w:tc>
      </w:tr>
      <w:tr w:rsidRPr="00CE74EF" w:rsidR="00815B11" w:rsidTr="009C25C5" w14:paraId="69CA0056" w14:textId="77777777">
        <w:tc>
          <w:tcPr>
            <w:tcW w:w="2830" w:type="dxa"/>
            <w:shd w:val="clear" w:color="auto" w:fill="F2F2F2" w:themeFill="background1" w:themeFillShade="F2"/>
            <w:vAlign w:val="center"/>
          </w:tcPr>
          <w:p w:rsidRPr="00CE74EF" w:rsidR="00815B11" w:rsidP="00370DC1" w:rsidRDefault="00815B11" w14:paraId="1560837D" w14:textId="77777777">
            <w:pPr>
              <w:pStyle w:val="EndnoteText"/>
              <w:spacing w:line="276" w:lineRule="auto"/>
              <w:jc w:val="both"/>
              <w:rPr>
                <w:rFonts w:cstheme="minorHAnsi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Chaîne</w:t>
            </w:r>
            <w:proofErr w:type="spellEnd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d'approvisionnement</w:t>
            </w:r>
            <w:proofErr w:type="spellEnd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internationale</w:t>
            </w:r>
            <w:proofErr w:type="spellEnd"/>
          </w:p>
        </w:tc>
        <w:tc>
          <w:tcPr>
            <w:tcW w:w="6520" w:type="dxa"/>
            <w:vAlign w:val="center"/>
          </w:tcPr>
          <w:p w:rsidRPr="00CE74EF" w:rsidR="00815B11" w:rsidP="00370DC1" w:rsidRDefault="009858DA" w14:paraId="32A11C5E" w14:textId="1708B7F2">
            <w:pPr>
              <w:pStyle w:val="EndnoteText"/>
              <w:spacing w:line="276" w:lineRule="auto"/>
              <w:jc w:val="both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La </w:t>
            </w:r>
            <w:proofErr w:type="spellStart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>capacité</w:t>
            </w:r>
            <w:proofErr w:type="spellEnd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de fabrication </w:t>
            </w:r>
            <w:proofErr w:type="spellStart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>internationale</w:t>
            </w:r>
            <w:proofErr w:type="spellEnd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et </w:t>
            </w:r>
            <w:proofErr w:type="spellStart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>l'approvisionnement</w:t>
            </w:r>
            <w:proofErr w:type="spellEnd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>en</w:t>
            </w:r>
            <w:proofErr w:type="spellEnd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8223ED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pDTG </w:t>
            </w:r>
            <w:proofErr w:type="spellStart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>seront</w:t>
            </w:r>
            <w:proofErr w:type="spellEnd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>surveillés</w:t>
            </w:r>
            <w:proofErr w:type="spellEnd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pour </w:t>
            </w:r>
            <w:proofErr w:type="spellStart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>garantir</w:t>
            </w:r>
            <w:proofErr w:type="spellEnd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les volumes de stocks </w:t>
            </w:r>
            <w:proofErr w:type="spellStart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>disponibles</w:t>
            </w:r>
            <w:proofErr w:type="spellEnd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via </w:t>
            </w:r>
            <w:proofErr w:type="spellStart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>l'accès</w:t>
            </w:r>
            <w:proofErr w:type="spellEnd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aux </w:t>
            </w:r>
            <w:proofErr w:type="spellStart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>informations</w:t>
            </w:r>
            <w:proofErr w:type="spellEnd"/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du </w:t>
            </w:r>
            <w:hyperlink w:history="1" r:id="rId20">
              <w:proofErr w:type="spellStart"/>
              <w:r w:rsidRPr="008223ED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>groupe</w:t>
              </w:r>
              <w:proofErr w:type="spellEnd"/>
              <w:r w:rsidRPr="008223ED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 xml:space="preserve"> de travail sur </w:t>
              </w:r>
              <w:proofErr w:type="spellStart"/>
              <w:r w:rsidRPr="008223ED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>l'approvisionnement</w:t>
              </w:r>
              <w:proofErr w:type="spellEnd"/>
              <w:r w:rsidRPr="008223ED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 xml:space="preserve"> </w:t>
              </w:r>
              <w:proofErr w:type="spellStart"/>
              <w:r w:rsidRPr="008223ED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>en</w:t>
              </w:r>
              <w:proofErr w:type="spellEnd"/>
              <w:r w:rsidRPr="008223ED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 xml:space="preserve"> </w:t>
              </w:r>
              <w:r w:rsidRPr="008223ED" w:rsidR="008223ED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>ARV (</w:t>
              </w:r>
            </w:hyperlink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APWG) dans le </w:t>
            </w:r>
            <w:r w:rsidRPr="00CE74EF" w:rsidR="00815B11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pays </w:t>
            </w: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; la CHAI et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l'USAID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siègent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à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ce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comité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et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informeront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le pays des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principaux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développements</w:t>
            </w:r>
            <w:proofErr w:type="spellEnd"/>
          </w:p>
        </w:tc>
      </w:tr>
      <w:tr w:rsidRPr="00CE74EF" w:rsidR="008223ED" w:rsidTr="009C25C5" w14:paraId="51357DCF" w14:textId="77777777">
        <w:tc>
          <w:tcPr>
            <w:tcW w:w="2830" w:type="dxa"/>
            <w:shd w:val="clear" w:color="auto" w:fill="F2F2F2" w:themeFill="background1" w:themeFillShade="F2"/>
            <w:vAlign w:val="center"/>
          </w:tcPr>
          <w:p w:rsidRPr="00CE74EF" w:rsidR="008223ED" w:rsidP="00370DC1" w:rsidRDefault="008223ED" w14:paraId="6A7B2DAB" w14:textId="77777777">
            <w:pPr>
              <w:pStyle w:val="EndnoteText"/>
              <w:spacing w:line="276" w:lineRule="auto"/>
              <w:jc w:val="both"/>
              <w:rPr>
                <w:rFonts w:cstheme="minorHAnsi"/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Suivi</w:t>
            </w:r>
            <w:proofErr w:type="spellEnd"/>
            <w:r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rapide</w:t>
            </w:r>
            <w:proofErr w:type="spellEnd"/>
            <w:r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 de la </w:t>
            </w:r>
            <w:proofErr w:type="spellStart"/>
            <w:r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consommation</w:t>
            </w:r>
            <w:proofErr w:type="spellEnd"/>
          </w:p>
        </w:tc>
        <w:tc>
          <w:tcPr>
            <w:tcW w:w="6520" w:type="dxa"/>
            <w:vAlign w:val="center"/>
          </w:tcPr>
          <w:p w:rsidRPr="00CE74EF" w:rsidR="008223ED" w:rsidP="00370DC1" w:rsidRDefault="008223ED" w14:paraId="1293F548" w14:textId="42B486C6">
            <w:pPr>
              <w:pStyle w:val="EndnoteText"/>
              <w:spacing w:line="276" w:lineRule="auto"/>
              <w:jc w:val="both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cstheme="minorHAnsi"/>
                <w:bCs/>
                <w:i/>
                <w:iCs/>
                <w:sz w:val="22"/>
                <w:szCs w:val="22"/>
              </w:rPr>
              <w:t>L'</w:t>
            </w:r>
            <w:hyperlink w:history="1" r:id="rId21">
              <w:r w:rsidRPr="009C25C5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>outil</w:t>
              </w:r>
              <w:proofErr w:type="spellEnd"/>
              <w:r w:rsidRPr="009C25C5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 xml:space="preserve"> de </w:t>
              </w:r>
              <w:proofErr w:type="spellStart"/>
              <w:r w:rsidRPr="009C25C5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>suivi</w:t>
              </w:r>
              <w:proofErr w:type="spellEnd"/>
              <w:r w:rsidRPr="009C25C5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 xml:space="preserve"> de la </w:t>
              </w:r>
              <w:proofErr w:type="spellStart"/>
              <w:r w:rsidRPr="009C25C5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>consommation</w:t>
              </w:r>
              <w:proofErr w:type="spellEnd"/>
              <w:r w:rsidRPr="009C25C5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 xml:space="preserve"> </w:t>
              </w:r>
              <w:proofErr w:type="spellStart"/>
              <w:r w:rsidRPr="009C25C5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>rapide</w:t>
              </w:r>
              <w:proofErr w:type="spellEnd"/>
              <w:r w:rsidRPr="009C25C5">
                <w:rPr>
                  <w:rStyle w:val="Hyperlink"/>
                  <w:rFonts w:cstheme="minorHAnsi"/>
                  <w:bCs/>
                  <w:i/>
                  <w:iCs/>
                  <w:sz w:val="22"/>
                  <w:szCs w:val="22"/>
                </w:rPr>
                <w:t xml:space="preserve"> de la </w:t>
              </w:r>
            </w:hyperlink>
            <w:r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CHAI </w:t>
            </w:r>
            <w:proofErr w:type="spellStart"/>
            <w:r w:rsidR="00E60BD9">
              <w:rPr>
                <w:rFonts w:cstheme="minorHAnsi"/>
                <w:bCs/>
                <w:i/>
                <w:iCs/>
                <w:sz w:val="22"/>
                <w:szCs w:val="22"/>
              </w:rPr>
              <w:t>peut</w:t>
            </w:r>
            <w:proofErr w:type="spellEnd"/>
            <w:r w:rsidR="00E60BD9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être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utilisé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pour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suivre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l'utilisation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sur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une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base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mensuelle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dans les premières étapes du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déploiement</w:t>
            </w:r>
            <w:proofErr w:type="spellEnd"/>
            <w:r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, </w:t>
            </w:r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pour comparer la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consommation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réelle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de </w:t>
            </w:r>
            <w:r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pDTG au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niveau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des installations aux tendances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d'utilisation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prévues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, dans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l'espoir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d'identifier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tout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problème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potentiel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de sous-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consommation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ou</w:t>
            </w:r>
            <w:proofErr w:type="spellEnd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9C25C5">
              <w:rPr>
                <w:rFonts w:cstheme="minorHAnsi"/>
                <w:bCs/>
                <w:i/>
                <w:iCs/>
                <w:sz w:val="22"/>
                <w:szCs w:val="22"/>
              </w:rPr>
              <w:t>surconsommation</w:t>
            </w:r>
            <w:proofErr w:type="spellEnd"/>
          </w:p>
        </w:tc>
      </w:tr>
      <w:tr w:rsidRPr="00CE74EF" w:rsidR="009858DA" w:rsidTr="009C25C5" w14:paraId="29A4E580" w14:textId="77777777">
        <w:tc>
          <w:tcPr>
            <w:tcW w:w="2830" w:type="dxa"/>
            <w:shd w:val="clear" w:color="auto" w:fill="F2F2F2" w:themeFill="background1" w:themeFillShade="F2"/>
            <w:vAlign w:val="center"/>
          </w:tcPr>
          <w:p w:rsidRPr="00CE74EF" w:rsidR="009858DA" w:rsidP="00370DC1" w:rsidRDefault="009858DA" w14:paraId="057BDA4F" w14:textId="77777777">
            <w:pPr>
              <w:pStyle w:val="EndnoteText"/>
              <w:spacing w:line="276" w:lineRule="auto"/>
              <w:jc w:val="both"/>
              <w:rPr>
                <w:rFonts w:cstheme="minorHAnsi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Consommation</w:t>
            </w:r>
            <w:proofErr w:type="spellEnd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 domestique des stocks et des patients</w:t>
            </w:r>
          </w:p>
        </w:tc>
        <w:tc>
          <w:tcPr>
            <w:tcW w:w="6520" w:type="dxa"/>
            <w:vAlign w:val="center"/>
          </w:tcPr>
          <w:p w:rsidRPr="00CE74EF" w:rsidR="009858DA" w:rsidP="00370DC1" w:rsidRDefault="009858DA" w14:paraId="7984D4B8" w14:textId="77777777">
            <w:pPr>
              <w:pStyle w:val="EndnoteTex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Données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relatives aux entrepôts</w:t>
            </w:r>
          </w:p>
          <w:p w:rsidRPr="00CE74EF" w:rsidR="009858DA" w:rsidP="00370DC1" w:rsidRDefault="009858DA" w14:paraId="77E18429" w14:textId="77777777">
            <w:pPr>
              <w:pStyle w:val="EndnoteTex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Tableau de bord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en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ligne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l'état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des stocks au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niveau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central</w:t>
            </w:r>
          </w:p>
          <w:p w:rsidRPr="00CE74EF" w:rsidR="009858DA" w:rsidP="00370DC1" w:rsidRDefault="009858DA" w14:paraId="631EA4CB" w14:textId="17B7EE97">
            <w:pPr>
              <w:pStyle w:val="EndnoteTex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État des stocks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d'ARV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Pr="00CE74EF" w:rsidR="009858DA" w:rsidTr="009C25C5" w14:paraId="5B6A7BC5" w14:textId="77777777">
        <w:tc>
          <w:tcPr>
            <w:tcW w:w="2830" w:type="dxa"/>
            <w:shd w:val="clear" w:color="auto" w:fill="F2F2F2" w:themeFill="background1" w:themeFillShade="F2"/>
            <w:vAlign w:val="center"/>
          </w:tcPr>
          <w:p w:rsidRPr="00CE74EF" w:rsidR="009858DA" w:rsidP="00370DC1" w:rsidRDefault="009858DA" w14:paraId="36052C9A" w14:textId="77777777">
            <w:pPr>
              <w:pStyle w:val="EndnoteText"/>
              <w:spacing w:line="276" w:lineRule="auto"/>
              <w:jc w:val="both"/>
              <w:rPr>
                <w:rFonts w:cstheme="minorHAnsi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Suivi</w:t>
            </w:r>
            <w:proofErr w:type="spellEnd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l'orientation</w:t>
            </w:r>
            <w:proofErr w:type="spellEnd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 des installations</w:t>
            </w:r>
          </w:p>
        </w:tc>
        <w:tc>
          <w:tcPr>
            <w:tcW w:w="6520" w:type="dxa"/>
            <w:vAlign w:val="center"/>
          </w:tcPr>
          <w:p w:rsidRPr="00CE74EF" w:rsidR="009858DA" w:rsidP="00370DC1" w:rsidRDefault="009858DA" w14:paraId="7F8CE642" w14:textId="77777777">
            <w:pPr>
              <w:pStyle w:val="EndnoteText"/>
              <w:spacing w:line="276" w:lineRule="auto"/>
              <w:jc w:val="both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Les IP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fourniront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les mises à jour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nécessaires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afin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contrôler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la couverture de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l'orientation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par district et par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établissement</w:t>
            </w:r>
            <w:proofErr w:type="spellEnd"/>
          </w:p>
        </w:tc>
      </w:tr>
      <w:tr w:rsidRPr="00CE74EF" w:rsidR="009858DA" w:rsidTr="009C25C5" w14:paraId="20CDEA58" w14:textId="77777777">
        <w:tc>
          <w:tcPr>
            <w:tcW w:w="2830" w:type="dxa"/>
            <w:shd w:val="clear" w:color="auto" w:fill="F2F2F2" w:themeFill="background1" w:themeFillShade="F2"/>
            <w:vAlign w:val="center"/>
          </w:tcPr>
          <w:p w:rsidRPr="00CE74EF" w:rsidR="009858DA" w:rsidP="00370DC1" w:rsidRDefault="009858DA" w14:paraId="1F1B0FE8" w14:textId="77777777">
            <w:pPr>
              <w:pStyle w:val="EndnoteText"/>
              <w:spacing w:line="276" w:lineRule="auto"/>
              <w:jc w:val="both"/>
              <w:rPr>
                <w:rFonts w:cstheme="minorHAnsi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Mentorat</w:t>
            </w:r>
            <w:proofErr w:type="spellEnd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 au </w:t>
            </w:r>
            <w:proofErr w:type="spellStart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niveau</w:t>
            </w:r>
            <w:proofErr w:type="spellEnd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 des installations</w:t>
            </w:r>
          </w:p>
        </w:tc>
        <w:tc>
          <w:tcPr>
            <w:tcW w:w="6520" w:type="dxa"/>
            <w:vAlign w:val="center"/>
          </w:tcPr>
          <w:p w:rsidRPr="00CE74EF" w:rsidR="009858DA" w:rsidP="00370DC1" w:rsidRDefault="009858DA" w14:paraId="6C3DFADD" w14:textId="251F69C2">
            <w:pPr>
              <w:pStyle w:val="EndnoteText"/>
              <w:spacing w:line="276" w:lineRule="auto"/>
              <w:jc w:val="both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Le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mentorat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sera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mensuel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pendant les </w:t>
            </w:r>
            <w:r w:rsidRPr="008E048A">
              <w:rPr>
                <w:rFonts w:cstheme="minorHAnsi"/>
                <w:bCs/>
                <w:i/>
                <w:iCs/>
                <w:sz w:val="22"/>
                <w:szCs w:val="22"/>
                <w:highlight w:val="yellow"/>
              </w:rPr>
              <w:t xml:space="preserve">six </w:t>
            </w: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premiers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mois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puis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E048A">
              <w:rPr>
                <w:rFonts w:cstheme="minorHAnsi"/>
                <w:bCs/>
                <w:i/>
                <w:iCs/>
                <w:sz w:val="22"/>
                <w:szCs w:val="22"/>
                <w:highlight w:val="yellow"/>
              </w:rPr>
              <w:t>trimestriel</w:t>
            </w:r>
            <w:proofErr w:type="spellEnd"/>
            <w:r w:rsidRPr="008E048A">
              <w:rPr>
                <w:rFonts w:cstheme="minorHAnsi"/>
                <w:bCs/>
                <w:i/>
                <w:iCs/>
                <w:sz w:val="22"/>
                <w:szCs w:val="22"/>
                <w:highlight w:val="yellow"/>
              </w:rPr>
              <w:t xml:space="preserve"> </w:t>
            </w: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après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l'introduction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nationale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du </w:t>
            </w:r>
            <w:r w:rsidR="008223ED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pDTG dans les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établissements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afin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garantir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une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utilisation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efficace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. Les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établissements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identifiés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comme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étant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en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difficulté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bénéficieront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d'un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soutien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supplémentaire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et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d'une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stratégie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d'intervention</w:t>
            </w:r>
            <w:proofErr w:type="spellEnd"/>
          </w:p>
        </w:tc>
      </w:tr>
      <w:tr w:rsidRPr="00CE74EF" w:rsidR="009858DA" w:rsidTr="009C25C5" w14:paraId="50F04F4E" w14:textId="77777777">
        <w:tc>
          <w:tcPr>
            <w:tcW w:w="2830" w:type="dxa"/>
            <w:shd w:val="clear" w:color="auto" w:fill="F2F2F2" w:themeFill="background1" w:themeFillShade="F2"/>
            <w:vAlign w:val="center"/>
          </w:tcPr>
          <w:p w:rsidRPr="00CE74EF" w:rsidR="009858DA" w:rsidP="00370DC1" w:rsidRDefault="009858DA" w14:paraId="16A407C4" w14:textId="199D1C1B">
            <w:pPr>
              <w:pStyle w:val="EndnoteText"/>
              <w:spacing w:line="276" w:lineRule="auto"/>
              <w:jc w:val="both"/>
              <w:rPr>
                <w:rFonts w:cstheme="minorHAnsi"/>
                <w:b/>
                <w:bCs/>
                <w:i/>
                <w:iCs/>
                <w:sz w:val="22"/>
                <w:szCs w:val="22"/>
              </w:rPr>
            </w:pPr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Pharmacovigilance </w:t>
            </w:r>
            <w:r w:rsidR="00D84FBA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et </w:t>
            </w:r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surveillance de la </w:t>
            </w:r>
            <w:proofErr w:type="spellStart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résistance</w:t>
            </w:r>
            <w:proofErr w:type="spellEnd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 xml:space="preserve"> aux </w:t>
            </w:r>
            <w:proofErr w:type="spellStart"/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médicaments</w:t>
            </w:r>
            <w:proofErr w:type="spellEnd"/>
          </w:p>
        </w:tc>
        <w:tc>
          <w:tcPr>
            <w:tcW w:w="6520" w:type="dxa"/>
            <w:vAlign w:val="center"/>
          </w:tcPr>
          <w:p w:rsidRPr="00CE74EF" w:rsidR="009858DA" w:rsidP="00370DC1" w:rsidRDefault="009858DA" w14:paraId="2DCA9CDB" w14:textId="523D6393">
            <w:pPr>
              <w:pStyle w:val="EndnoteText"/>
              <w:spacing w:line="276" w:lineRule="auto"/>
              <w:jc w:val="both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Les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détails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du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suivi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se </w:t>
            </w:r>
            <w:proofErr w:type="spellStart"/>
            <w:r w:rsidR="008223ED">
              <w:rPr>
                <w:rFonts w:cstheme="minorHAnsi"/>
                <w:bCs/>
                <w:i/>
                <w:iCs/>
                <w:sz w:val="22"/>
                <w:szCs w:val="22"/>
              </w:rPr>
              <w:t>trouvent</w:t>
            </w:r>
            <w:proofErr w:type="spellEnd"/>
            <w:r w:rsidR="008223ED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dans la section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suivante</w:t>
            </w:r>
            <w:proofErr w:type="spellEnd"/>
          </w:p>
        </w:tc>
      </w:tr>
      <w:tr w:rsidRPr="00CE74EF" w:rsidR="009858DA" w:rsidTr="009C25C5" w14:paraId="1C06CAB2" w14:textId="77777777">
        <w:tc>
          <w:tcPr>
            <w:tcW w:w="2830" w:type="dxa"/>
            <w:shd w:val="clear" w:color="auto" w:fill="F2F2F2" w:themeFill="background1" w:themeFillShade="F2"/>
            <w:vAlign w:val="center"/>
          </w:tcPr>
          <w:p w:rsidRPr="00CE74EF" w:rsidR="009858DA" w:rsidP="00370DC1" w:rsidRDefault="009858DA" w14:paraId="2E1F43B2" w14:textId="77777777">
            <w:pPr>
              <w:pStyle w:val="EndnoteText"/>
              <w:spacing w:line="276" w:lineRule="auto"/>
              <w:jc w:val="both"/>
              <w:rPr>
                <w:rFonts w:cstheme="minorHAnsi"/>
                <w:b/>
                <w:bCs/>
                <w:i/>
                <w:iCs/>
                <w:sz w:val="22"/>
                <w:szCs w:val="22"/>
              </w:rPr>
            </w:pPr>
            <w:r w:rsidRPr="00CE74EF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lastRenderedPageBreak/>
              <w:t>Total DTG Transition Review</w:t>
            </w:r>
          </w:p>
        </w:tc>
        <w:tc>
          <w:tcPr>
            <w:tcW w:w="6520" w:type="dxa"/>
            <w:vAlign w:val="center"/>
          </w:tcPr>
          <w:p w:rsidRPr="00CE74EF" w:rsidR="009858DA" w:rsidP="00370DC1" w:rsidRDefault="009858DA" w14:paraId="0074CDC6" w14:textId="0648CC48">
            <w:pPr>
              <w:pStyle w:val="EndnoteText"/>
              <w:spacing w:line="276" w:lineRule="auto"/>
              <w:jc w:val="both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Une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révision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complète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du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processus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déploiement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du </w:t>
            </w:r>
            <w:r w:rsidR="008223ED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GDTP </w:t>
            </w: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aura lieu </w:t>
            </w:r>
            <w:r w:rsidRPr="00DE4C63">
              <w:rPr>
                <w:rFonts w:cstheme="minorHAnsi"/>
                <w:bCs/>
                <w:i/>
                <w:iCs/>
                <w:sz w:val="22"/>
                <w:szCs w:val="22"/>
                <w:highlight w:val="yellow"/>
              </w:rPr>
              <w:t xml:space="preserve">9 à 13 </w:t>
            </w:r>
            <w:proofErr w:type="spellStart"/>
            <w:r w:rsidRPr="00DE4C63">
              <w:rPr>
                <w:rFonts w:cstheme="minorHAnsi"/>
                <w:bCs/>
                <w:i/>
                <w:iCs/>
                <w:sz w:val="22"/>
                <w:szCs w:val="22"/>
                <w:highlight w:val="yellow"/>
              </w:rPr>
              <w:t>mois</w:t>
            </w:r>
            <w:proofErr w:type="spellEnd"/>
            <w:r w:rsidRPr="00DE4C63">
              <w:rPr>
                <w:rFonts w:cstheme="minorHAnsi"/>
                <w:bCs/>
                <w:i/>
                <w:iCs/>
                <w:sz w:val="22"/>
                <w:szCs w:val="22"/>
                <w:highlight w:val="yellow"/>
              </w:rPr>
              <w:t xml:space="preserve"> </w:t>
            </w: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après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l'introduction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du </w:t>
            </w:r>
            <w:r w:rsidR="0054307D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GDTP au </w:t>
            </w:r>
            <w:proofErr w:type="spellStart"/>
            <w:r w:rsidR="0054307D">
              <w:rPr>
                <w:rFonts w:cstheme="minorHAnsi"/>
                <w:bCs/>
                <w:i/>
                <w:iCs/>
                <w:sz w:val="22"/>
                <w:szCs w:val="22"/>
              </w:rPr>
              <w:t>niveau</w:t>
            </w:r>
            <w:proofErr w:type="spellEnd"/>
            <w:r w:rsidR="0054307D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national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afin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saisir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les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enseignements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clés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et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d'améliorer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l'introduction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de nouveaux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produits</w:t>
            </w:r>
            <w:proofErr w:type="spellEnd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 xml:space="preserve"> à </w:t>
            </w:r>
            <w:proofErr w:type="spellStart"/>
            <w:r w:rsidRPr="00CE74EF">
              <w:rPr>
                <w:rFonts w:cstheme="minorHAnsi"/>
                <w:bCs/>
                <w:i/>
                <w:iCs/>
                <w:sz w:val="22"/>
                <w:szCs w:val="22"/>
              </w:rPr>
              <w:t>l'avenir</w:t>
            </w:r>
            <w:proofErr w:type="spellEnd"/>
          </w:p>
        </w:tc>
      </w:tr>
    </w:tbl>
    <w:p w:rsidRPr="00962853" w:rsidR="00815B11" w:rsidP="00370DC1" w:rsidRDefault="00815B11" w14:paraId="4B9AD71F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Pr="00962853" w:rsidR="005519CF" w:rsidP="00370DC1" w:rsidRDefault="005519CF" w14:paraId="2639ED5C" w14:textId="360A4F2F">
      <w:pPr>
        <w:pStyle w:val="Heading1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962853">
        <w:rPr>
          <w:rFonts w:asciiTheme="minorHAnsi" w:hAnsiTheme="minorHAnsi" w:cstheme="minorHAnsi"/>
        </w:rPr>
        <w:t xml:space="preserve">Pharmacovigilance </w:t>
      </w:r>
      <w:r w:rsidR="00D84FBA">
        <w:rPr>
          <w:rFonts w:asciiTheme="minorHAnsi" w:hAnsiTheme="minorHAnsi" w:cstheme="minorHAnsi"/>
        </w:rPr>
        <w:t xml:space="preserve">et </w:t>
      </w:r>
      <w:r w:rsidRPr="00962853" w:rsidR="00C25755">
        <w:rPr>
          <w:rFonts w:asciiTheme="minorHAnsi" w:hAnsiTheme="minorHAnsi" w:cstheme="minorHAnsi"/>
        </w:rPr>
        <w:t xml:space="preserve">surveillance de la </w:t>
      </w:r>
      <w:proofErr w:type="spellStart"/>
      <w:r w:rsidRPr="00962853" w:rsidR="00C25755">
        <w:rPr>
          <w:rFonts w:asciiTheme="minorHAnsi" w:hAnsiTheme="minorHAnsi" w:cstheme="minorHAnsi"/>
        </w:rPr>
        <w:t>résistance</w:t>
      </w:r>
      <w:proofErr w:type="spellEnd"/>
      <w:r w:rsidRPr="00962853" w:rsidR="00C25755">
        <w:rPr>
          <w:rFonts w:asciiTheme="minorHAnsi" w:hAnsiTheme="minorHAnsi" w:cstheme="minorHAnsi"/>
        </w:rPr>
        <w:t xml:space="preserve"> aux </w:t>
      </w:r>
      <w:proofErr w:type="spellStart"/>
      <w:r w:rsidRPr="00962853" w:rsidR="00C25755">
        <w:rPr>
          <w:rFonts w:asciiTheme="minorHAnsi" w:hAnsiTheme="minorHAnsi" w:cstheme="minorHAnsi"/>
        </w:rPr>
        <w:t>médicaments</w:t>
      </w:r>
      <w:proofErr w:type="spellEnd"/>
      <w:r w:rsidRPr="00962853" w:rsidR="00C25755">
        <w:rPr>
          <w:rFonts w:asciiTheme="minorHAnsi" w:hAnsiTheme="minorHAnsi" w:cstheme="minorHAnsi"/>
        </w:rPr>
        <w:t xml:space="preserve"> </w:t>
      </w:r>
    </w:p>
    <w:p w:rsidRPr="00962853" w:rsidR="005E08D6" w:rsidP="00370DC1" w:rsidRDefault="005E08D6" w14:paraId="0250492E" w14:textId="6D774DDE">
      <w:pPr>
        <w:pStyle w:val="Heading2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 w:rsidRPr="00962853">
        <w:rPr>
          <w:rFonts w:asciiTheme="minorHAnsi" w:hAnsiTheme="minorHAnsi" w:cstheme="minorHAnsi"/>
        </w:rPr>
        <w:t xml:space="preserve">Pharmacovigilance </w:t>
      </w:r>
      <w:r w:rsidR="00D84FBA">
        <w:rPr>
          <w:rFonts w:asciiTheme="minorHAnsi" w:hAnsiTheme="minorHAnsi" w:cstheme="minorHAnsi"/>
        </w:rPr>
        <w:t>(PV)</w:t>
      </w:r>
    </w:p>
    <w:p w:rsidR="00720AE7" w:rsidP="00370DC1" w:rsidRDefault="00720AE7" w14:paraId="648BFAE9" w14:textId="4E8E202A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  <w:r w:rsidRPr="00720AE7">
        <w:rPr>
          <w:rFonts w:cstheme="minorHAnsi"/>
          <w:bCs/>
          <w:sz w:val="22"/>
          <w:szCs w:val="22"/>
        </w:rPr>
        <w:t xml:space="preserve">Comme pour </w:t>
      </w:r>
      <w:proofErr w:type="spellStart"/>
      <w:r w:rsidRPr="00720AE7">
        <w:rPr>
          <w:rFonts w:cstheme="minorHAnsi"/>
          <w:bCs/>
          <w:sz w:val="22"/>
          <w:szCs w:val="22"/>
        </w:rPr>
        <w:t>tous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les ARV, il </w:t>
      </w:r>
      <w:proofErr w:type="spellStart"/>
      <w:r w:rsidRPr="00720AE7">
        <w:rPr>
          <w:rFonts w:cstheme="minorHAnsi"/>
          <w:bCs/>
          <w:sz w:val="22"/>
          <w:szCs w:val="22"/>
        </w:rPr>
        <w:t>est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possible </w:t>
      </w:r>
      <w:proofErr w:type="spellStart"/>
      <w:r w:rsidRPr="00720AE7">
        <w:rPr>
          <w:rFonts w:cstheme="minorHAnsi"/>
          <w:bCs/>
          <w:sz w:val="22"/>
          <w:szCs w:val="22"/>
        </w:rPr>
        <w:t>d'avoir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des </w:t>
      </w:r>
      <w:proofErr w:type="spellStart"/>
      <w:r w:rsidRPr="00720AE7">
        <w:rPr>
          <w:rFonts w:cstheme="minorHAnsi"/>
          <w:bCs/>
          <w:sz w:val="22"/>
          <w:szCs w:val="22"/>
        </w:rPr>
        <w:t>effets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secondaires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lors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de la </w:t>
      </w:r>
      <w:proofErr w:type="spellStart"/>
      <w:r w:rsidRPr="00720AE7">
        <w:rPr>
          <w:rFonts w:cstheme="minorHAnsi"/>
          <w:bCs/>
          <w:sz w:val="22"/>
          <w:szCs w:val="22"/>
        </w:rPr>
        <w:t>prise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de pDTG. </w:t>
      </w:r>
      <w:proofErr w:type="spellStart"/>
      <w:r w:rsidRPr="00720AE7">
        <w:rPr>
          <w:rFonts w:cstheme="minorHAnsi"/>
          <w:bCs/>
          <w:sz w:val="22"/>
          <w:szCs w:val="22"/>
        </w:rPr>
        <w:t>Toutefois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, </w:t>
      </w:r>
      <w:proofErr w:type="spellStart"/>
      <w:r w:rsidRPr="00720AE7">
        <w:rPr>
          <w:rFonts w:cstheme="minorHAnsi"/>
          <w:bCs/>
          <w:sz w:val="22"/>
          <w:szCs w:val="22"/>
        </w:rPr>
        <w:t>lors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des études </w:t>
      </w:r>
      <w:proofErr w:type="spellStart"/>
      <w:r w:rsidRPr="00720AE7">
        <w:rPr>
          <w:rFonts w:cstheme="minorHAnsi"/>
          <w:bCs/>
          <w:sz w:val="22"/>
          <w:szCs w:val="22"/>
        </w:rPr>
        <w:t>cliniques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, </w:t>
      </w:r>
      <w:proofErr w:type="spellStart"/>
      <w:r w:rsidRPr="00720AE7">
        <w:rPr>
          <w:rFonts w:cstheme="minorHAnsi"/>
          <w:bCs/>
          <w:sz w:val="22"/>
          <w:szCs w:val="22"/>
        </w:rPr>
        <w:t>aucun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participant </w:t>
      </w:r>
      <w:proofErr w:type="spellStart"/>
      <w:r w:rsidRPr="00720AE7">
        <w:rPr>
          <w:rFonts w:cstheme="minorHAnsi"/>
          <w:bCs/>
          <w:sz w:val="22"/>
          <w:szCs w:val="22"/>
        </w:rPr>
        <w:t>n'a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cessé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définitivement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de prendre du DTG </w:t>
      </w:r>
      <w:proofErr w:type="spellStart"/>
      <w:r w:rsidRPr="00720AE7">
        <w:rPr>
          <w:rFonts w:cstheme="minorHAnsi"/>
          <w:bCs/>
          <w:sz w:val="22"/>
          <w:szCs w:val="22"/>
        </w:rPr>
        <w:t>en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raison </w:t>
      </w:r>
      <w:proofErr w:type="spellStart"/>
      <w:r w:rsidRPr="00720AE7">
        <w:rPr>
          <w:rFonts w:cstheme="minorHAnsi"/>
          <w:bCs/>
          <w:sz w:val="22"/>
          <w:szCs w:val="22"/>
        </w:rPr>
        <w:t>d'effets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indésirables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du pDTG. Les </w:t>
      </w:r>
      <w:proofErr w:type="spellStart"/>
      <w:r w:rsidRPr="00720AE7">
        <w:rPr>
          <w:rFonts w:cstheme="minorHAnsi"/>
          <w:bCs/>
          <w:sz w:val="22"/>
          <w:szCs w:val="22"/>
        </w:rPr>
        <w:t>effets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secondaires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possibles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comprennent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l'</w:t>
      </w:r>
      <w:r>
        <w:rPr>
          <w:rFonts w:cstheme="minorHAnsi"/>
          <w:bCs/>
          <w:sz w:val="22"/>
          <w:szCs w:val="22"/>
        </w:rPr>
        <w:t>insomnie</w:t>
      </w:r>
      <w:proofErr w:type="spellEnd"/>
      <w:r>
        <w:rPr>
          <w:rFonts w:cstheme="minorHAnsi"/>
          <w:bCs/>
          <w:sz w:val="22"/>
          <w:szCs w:val="22"/>
        </w:rPr>
        <w:t xml:space="preserve">, la fatigue et les </w:t>
      </w:r>
      <w:proofErr w:type="spellStart"/>
      <w:r>
        <w:rPr>
          <w:rFonts w:cstheme="minorHAnsi"/>
          <w:bCs/>
          <w:sz w:val="22"/>
          <w:szCs w:val="22"/>
        </w:rPr>
        <w:t>maux</w:t>
      </w:r>
      <w:proofErr w:type="spellEnd"/>
      <w:r>
        <w:rPr>
          <w:rFonts w:cstheme="minorHAnsi"/>
          <w:bCs/>
          <w:sz w:val="22"/>
          <w:szCs w:val="22"/>
        </w:rPr>
        <w:t xml:space="preserve"> de tête. </w:t>
      </w:r>
      <w:proofErr w:type="spellStart"/>
      <w:r w:rsidRPr="00720AE7">
        <w:rPr>
          <w:rFonts w:cstheme="minorHAnsi"/>
          <w:bCs/>
          <w:sz w:val="22"/>
          <w:szCs w:val="22"/>
        </w:rPr>
        <w:t>Ces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>
        <w:rPr>
          <w:rFonts w:cstheme="minorHAnsi"/>
          <w:bCs/>
          <w:sz w:val="22"/>
          <w:szCs w:val="22"/>
        </w:rPr>
        <w:t>effets</w:t>
      </w:r>
      <w:proofErr w:type="spellEnd"/>
      <w:r>
        <w:rPr>
          <w:rFonts w:cstheme="minorHAnsi"/>
          <w:bCs/>
          <w:sz w:val="22"/>
          <w:szCs w:val="22"/>
        </w:rPr>
        <w:t xml:space="preserve"> </w:t>
      </w:r>
      <w:proofErr w:type="spellStart"/>
      <w:r>
        <w:rPr>
          <w:rFonts w:cstheme="minorHAnsi"/>
          <w:bCs/>
          <w:sz w:val="22"/>
          <w:szCs w:val="22"/>
        </w:rPr>
        <w:t>secondaires</w:t>
      </w:r>
      <w:proofErr w:type="spellEnd"/>
      <w:r>
        <w:rPr>
          <w:rFonts w:cstheme="minorHAnsi"/>
          <w:bCs/>
          <w:sz w:val="22"/>
          <w:szCs w:val="22"/>
        </w:rPr>
        <w:t xml:space="preserve"> tendent à </w:t>
      </w:r>
      <w:proofErr w:type="spellStart"/>
      <w:r>
        <w:rPr>
          <w:rFonts w:cstheme="minorHAnsi"/>
          <w:bCs/>
          <w:sz w:val="22"/>
          <w:szCs w:val="22"/>
        </w:rPr>
        <w:t>être</w:t>
      </w:r>
      <w:proofErr w:type="spellEnd"/>
      <w:r>
        <w:rPr>
          <w:rFonts w:cstheme="minorHAnsi"/>
          <w:bCs/>
          <w:sz w:val="22"/>
          <w:szCs w:val="22"/>
        </w:rPr>
        <w:t xml:space="preserve"> </w:t>
      </w:r>
      <w:r w:rsidRPr="00720AE7">
        <w:rPr>
          <w:rFonts w:cstheme="minorHAnsi"/>
          <w:bCs/>
          <w:sz w:val="22"/>
          <w:szCs w:val="22"/>
        </w:rPr>
        <w:t xml:space="preserve">plus </w:t>
      </w:r>
      <w:proofErr w:type="spellStart"/>
      <w:r w:rsidRPr="00720AE7">
        <w:rPr>
          <w:rFonts w:cstheme="minorHAnsi"/>
          <w:bCs/>
          <w:sz w:val="22"/>
          <w:szCs w:val="22"/>
        </w:rPr>
        <w:t>fréquents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lors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de la première </w:t>
      </w:r>
      <w:proofErr w:type="spellStart"/>
      <w:r w:rsidRPr="00720AE7">
        <w:rPr>
          <w:rFonts w:cstheme="minorHAnsi"/>
          <w:bCs/>
          <w:sz w:val="22"/>
          <w:szCs w:val="22"/>
        </w:rPr>
        <w:t>prise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de </w:t>
      </w:r>
      <w:r>
        <w:rPr>
          <w:rFonts w:cstheme="minorHAnsi"/>
          <w:bCs/>
          <w:sz w:val="22"/>
          <w:szCs w:val="22"/>
        </w:rPr>
        <w:t xml:space="preserve">pDTG </w:t>
      </w:r>
      <w:r w:rsidRPr="00720AE7">
        <w:rPr>
          <w:rFonts w:cstheme="minorHAnsi"/>
          <w:bCs/>
          <w:sz w:val="22"/>
          <w:szCs w:val="22"/>
        </w:rPr>
        <w:t xml:space="preserve">et </w:t>
      </w:r>
      <w:proofErr w:type="spellStart"/>
      <w:r w:rsidRPr="00720AE7">
        <w:rPr>
          <w:rFonts w:cstheme="minorHAnsi"/>
          <w:bCs/>
          <w:sz w:val="22"/>
          <w:szCs w:val="22"/>
        </w:rPr>
        <w:t>ont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tendance à </w:t>
      </w:r>
      <w:proofErr w:type="spellStart"/>
      <w:r w:rsidRPr="00720AE7">
        <w:rPr>
          <w:rFonts w:cstheme="minorHAnsi"/>
          <w:bCs/>
          <w:sz w:val="22"/>
          <w:szCs w:val="22"/>
        </w:rPr>
        <w:t>s'améliorer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avec le temps (environ 1 à 2 </w:t>
      </w:r>
      <w:proofErr w:type="spellStart"/>
      <w:r w:rsidRPr="00720AE7">
        <w:rPr>
          <w:rFonts w:cstheme="minorHAnsi"/>
          <w:bCs/>
          <w:sz w:val="22"/>
          <w:szCs w:val="22"/>
        </w:rPr>
        <w:t>mois</w:t>
      </w:r>
      <w:proofErr w:type="spellEnd"/>
      <w:r w:rsidRPr="00720AE7">
        <w:rPr>
          <w:rFonts w:cstheme="minorHAnsi"/>
          <w:bCs/>
          <w:sz w:val="22"/>
          <w:szCs w:val="22"/>
        </w:rPr>
        <w:t>)</w:t>
      </w:r>
      <w:r>
        <w:rPr>
          <w:rFonts w:cstheme="minorHAnsi"/>
          <w:bCs/>
          <w:sz w:val="22"/>
          <w:szCs w:val="22"/>
        </w:rPr>
        <w:t xml:space="preserve">. </w:t>
      </w:r>
    </w:p>
    <w:p w:rsidR="00F301B6" w:rsidP="00370DC1" w:rsidRDefault="00F301B6" w14:paraId="3D74B883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="013E522A" w:rsidP="013E522A" w:rsidRDefault="013E522A" w14:paraId="0D21192C" w14:textId="73CB5A36">
      <w:pPr>
        <w:pStyle w:val="EndnoteText"/>
        <w:spacing w:line="276" w:lineRule="auto"/>
        <w:jc w:val="both"/>
        <w:rPr>
          <w:rFonts w:cs="Calibri" w:cstheme="minorAscii"/>
          <w:sz w:val="22"/>
          <w:szCs w:val="22"/>
        </w:rPr>
      </w:pPr>
      <w:r w:rsidRPr="013E522A" w:rsidR="013E522A">
        <w:rPr>
          <w:rFonts w:cs="Calibri" w:cstheme="minorAscii"/>
          <w:sz w:val="22"/>
          <w:szCs w:val="22"/>
        </w:rPr>
        <w:t xml:space="preserve">La </w:t>
      </w:r>
      <w:proofErr w:type="spellStart"/>
      <w:r w:rsidRPr="013E522A" w:rsidR="013E522A">
        <w:rPr>
          <w:rFonts w:cs="Calibri" w:cstheme="minorAscii"/>
          <w:sz w:val="22"/>
          <w:szCs w:val="22"/>
        </w:rPr>
        <w:t>prise</w:t>
      </w:r>
      <w:proofErr w:type="spellEnd"/>
      <w:r w:rsidRPr="013E522A" w:rsidR="013E522A">
        <w:rPr>
          <w:rFonts w:cs="Calibri" w:cstheme="minorAscii"/>
          <w:sz w:val="22"/>
          <w:szCs w:val="22"/>
        </w:rPr>
        <w:t xml:space="preserve"> de </w:t>
      </w:r>
      <w:proofErr w:type="spellStart"/>
      <w:r w:rsidRPr="013E522A" w:rsidR="013E522A">
        <w:rPr>
          <w:rFonts w:cs="Calibri" w:cstheme="minorAscii"/>
          <w:sz w:val="22"/>
          <w:szCs w:val="22"/>
        </w:rPr>
        <w:t>poids</w:t>
      </w:r>
      <w:proofErr w:type="spellEnd"/>
      <w:r w:rsidRPr="013E522A" w:rsidR="013E522A">
        <w:rPr>
          <w:rFonts w:cs="Calibri" w:cstheme="minorAscii"/>
          <w:sz w:val="22"/>
          <w:szCs w:val="22"/>
        </w:rPr>
        <w:t xml:space="preserve"> a </w:t>
      </w:r>
      <w:proofErr w:type="spellStart"/>
      <w:r w:rsidRPr="013E522A" w:rsidR="013E522A">
        <w:rPr>
          <w:rFonts w:cs="Calibri" w:cstheme="minorAscii"/>
          <w:sz w:val="22"/>
          <w:szCs w:val="22"/>
        </w:rPr>
        <w:t>été</w:t>
      </w:r>
      <w:proofErr w:type="spellEnd"/>
      <w:r w:rsidRPr="013E522A" w:rsidR="013E522A">
        <w:rPr>
          <w:rFonts w:cs="Calibri" w:cstheme="minorAscii"/>
          <w:sz w:val="22"/>
          <w:szCs w:val="22"/>
        </w:rPr>
        <w:t xml:space="preserve"> un </w:t>
      </w:r>
      <w:proofErr w:type="spellStart"/>
      <w:r w:rsidRPr="013E522A" w:rsidR="013E522A">
        <w:rPr>
          <w:rFonts w:cs="Calibri" w:cstheme="minorAscii"/>
          <w:sz w:val="22"/>
          <w:szCs w:val="22"/>
        </w:rPr>
        <w:t>effet</w:t>
      </w:r>
      <w:proofErr w:type="spellEnd"/>
      <w:r w:rsidRPr="013E522A" w:rsidR="013E522A">
        <w:rPr>
          <w:rFonts w:cs="Calibri" w:cstheme="minorAscii"/>
          <w:sz w:val="22"/>
          <w:szCs w:val="22"/>
        </w:rPr>
        <w:t xml:space="preserve"> </w:t>
      </w:r>
      <w:proofErr w:type="spellStart"/>
      <w:r w:rsidRPr="013E522A" w:rsidR="013E522A">
        <w:rPr>
          <w:rFonts w:cs="Calibri" w:cstheme="minorAscii"/>
          <w:sz w:val="22"/>
          <w:szCs w:val="22"/>
        </w:rPr>
        <w:t>secondaire</w:t>
      </w:r>
      <w:proofErr w:type="spellEnd"/>
      <w:r w:rsidRPr="013E522A" w:rsidR="013E522A">
        <w:rPr>
          <w:rFonts w:cs="Calibri" w:cstheme="minorAscii"/>
          <w:sz w:val="22"/>
          <w:szCs w:val="22"/>
        </w:rPr>
        <w:t xml:space="preserve"> courant de la DTG 50 mg chez les adultes. </w:t>
      </w:r>
      <w:r w:rsidRPr="013E522A" w:rsidR="013E522A">
        <w:rPr>
          <w:rFonts w:ascii="Calibri" w:hAnsi="Calibri" w:eastAsia="Calibri" w:cs="Calibri"/>
          <w:noProof w:val="0"/>
          <w:sz w:val="22"/>
          <w:szCs w:val="22"/>
          <w:lang w:val="fr"/>
        </w:rPr>
        <w:t>L'essai ODYSSEY n'a trouvé aucune incidence sur une prise de poids excessive chez les enfants ; bien qu'il n'y ait aucune preuve actuelle suggérant un problème de prise de poids chez les enfants, il doit être surveillé régulièrement.</w:t>
      </w:r>
    </w:p>
    <w:p w:rsidR="00F301B6" w:rsidP="00370DC1" w:rsidRDefault="00F301B6" w14:paraId="7BEABD2A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Pr="0016437C" w:rsidR="00720AE7" w:rsidP="00370DC1" w:rsidRDefault="00720AE7" w14:paraId="4100D5E2" w14:textId="41D74E7C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  <w:proofErr w:type="spellStart"/>
      <w:r w:rsidRPr="00720AE7">
        <w:rPr>
          <w:rFonts w:cstheme="minorHAnsi"/>
          <w:bCs/>
          <w:sz w:val="22"/>
          <w:szCs w:val="22"/>
        </w:rPr>
        <w:t>L'incidence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720AE7">
        <w:rPr>
          <w:rFonts w:cstheme="minorHAnsi"/>
          <w:bCs/>
          <w:sz w:val="22"/>
          <w:szCs w:val="22"/>
        </w:rPr>
        <w:t>l'hyperglycémie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consécutive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à </w:t>
      </w:r>
      <w:proofErr w:type="spellStart"/>
      <w:r w:rsidRPr="00720AE7">
        <w:rPr>
          <w:rFonts w:cstheme="minorHAnsi"/>
          <w:bCs/>
          <w:sz w:val="22"/>
          <w:szCs w:val="22"/>
        </w:rPr>
        <w:t>une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DTG a </w:t>
      </w:r>
      <w:proofErr w:type="spellStart"/>
      <w:r w:rsidRPr="00720AE7">
        <w:rPr>
          <w:rFonts w:cstheme="minorHAnsi"/>
          <w:bCs/>
          <w:sz w:val="22"/>
          <w:szCs w:val="22"/>
        </w:rPr>
        <w:t>également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été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signalée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chez des </w:t>
      </w:r>
      <w:proofErr w:type="spellStart"/>
      <w:r w:rsidRPr="00720AE7">
        <w:rPr>
          <w:rFonts w:cstheme="minorHAnsi"/>
          <w:bCs/>
          <w:sz w:val="22"/>
          <w:szCs w:val="22"/>
        </w:rPr>
        <w:t>adultes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ayant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suivi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un </w:t>
      </w:r>
      <w:proofErr w:type="spellStart"/>
      <w:r w:rsidRPr="00720AE7">
        <w:rPr>
          <w:rFonts w:cstheme="minorHAnsi"/>
          <w:bCs/>
          <w:sz w:val="22"/>
          <w:szCs w:val="22"/>
        </w:rPr>
        <w:t>traitement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antirétroviral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. Les </w:t>
      </w:r>
      <w:proofErr w:type="spellStart"/>
      <w:r w:rsidRPr="00720AE7">
        <w:rPr>
          <w:rFonts w:cstheme="minorHAnsi"/>
          <w:bCs/>
          <w:sz w:val="22"/>
          <w:szCs w:val="22"/>
        </w:rPr>
        <w:t>symptômes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connexes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tels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que la </w:t>
      </w:r>
      <w:proofErr w:type="spellStart"/>
      <w:r w:rsidRPr="00720AE7">
        <w:rPr>
          <w:rFonts w:cstheme="minorHAnsi"/>
          <w:bCs/>
          <w:sz w:val="22"/>
          <w:szCs w:val="22"/>
        </w:rPr>
        <w:t>polyurie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, la </w:t>
      </w:r>
      <w:proofErr w:type="spellStart"/>
      <w:r w:rsidRPr="00720AE7">
        <w:rPr>
          <w:rFonts w:cstheme="minorHAnsi"/>
          <w:bCs/>
          <w:sz w:val="22"/>
          <w:szCs w:val="22"/>
        </w:rPr>
        <w:t>polydipsie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doivent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également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être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surveillés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de </w:t>
      </w:r>
      <w:proofErr w:type="spellStart"/>
      <w:r w:rsidRPr="00720AE7">
        <w:rPr>
          <w:rFonts w:cstheme="minorHAnsi"/>
          <w:bCs/>
          <w:sz w:val="22"/>
          <w:szCs w:val="22"/>
        </w:rPr>
        <w:t>façon</w:t>
      </w:r>
      <w:proofErr w:type="spellEnd"/>
      <w:r w:rsidRPr="00720AE7">
        <w:rPr>
          <w:rFonts w:cstheme="minorHAnsi"/>
          <w:bCs/>
          <w:sz w:val="22"/>
          <w:szCs w:val="22"/>
        </w:rPr>
        <w:t xml:space="preserve"> </w:t>
      </w:r>
      <w:proofErr w:type="spellStart"/>
      <w:r w:rsidRPr="00720AE7">
        <w:rPr>
          <w:rFonts w:cstheme="minorHAnsi"/>
          <w:bCs/>
          <w:sz w:val="22"/>
          <w:szCs w:val="22"/>
        </w:rPr>
        <w:t>systématique</w:t>
      </w:r>
      <w:proofErr w:type="spellEnd"/>
      <w:r w:rsidRPr="00720AE7">
        <w:rPr>
          <w:rFonts w:cstheme="minorHAnsi"/>
          <w:bCs/>
          <w:sz w:val="22"/>
          <w:szCs w:val="22"/>
        </w:rPr>
        <w:t>.</w:t>
      </w:r>
    </w:p>
    <w:p w:rsidR="00720AE7" w:rsidP="00370DC1" w:rsidRDefault="00720AE7" w14:paraId="648EC7BF" w14:textId="77777777">
      <w:pPr>
        <w:pStyle w:val="EndnoteText"/>
        <w:spacing w:line="276" w:lineRule="auto"/>
        <w:jc w:val="both"/>
        <w:rPr>
          <w:rFonts w:cstheme="minorHAnsi"/>
          <w:bCs/>
          <w:i/>
          <w:iCs/>
          <w:sz w:val="22"/>
          <w:szCs w:val="22"/>
        </w:rPr>
      </w:pPr>
    </w:p>
    <w:p w:rsidRPr="000157B6" w:rsidR="00E22642" w:rsidP="00370DC1" w:rsidRDefault="00720AE7" w14:paraId="67A293E4" w14:textId="31D1AD31">
      <w:pPr>
        <w:pStyle w:val="EndnoteText"/>
        <w:spacing w:line="276" w:lineRule="auto"/>
        <w:jc w:val="both"/>
        <w:rPr>
          <w:rFonts w:cstheme="minorHAnsi"/>
          <w:bCs/>
          <w:i/>
          <w:iCs/>
          <w:sz w:val="22"/>
          <w:szCs w:val="22"/>
          <w:highlight w:val="yellow"/>
        </w:rPr>
      </w:pPr>
      <w:proofErr w:type="spellStart"/>
      <w:r w:rsidRPr="0016437C">
        <w:rPr>
          <w:rFonts w:cstheme="minorHAnsi"/>
          <w:bCs/>
          <w:sz w:val="22"/>
          <w:szCs w:val="22"/>
        </w:rPr>
        <w:t>Tous</w:t>
      </w:r>
      <w:proofErr w:type="spellEnd"/>
      <w:r w:rsidRPr="0016437C">
        <w:rPr>
          <w:rFonts w:cstheme="minorHAnsi"/>
          <w:bCs/>
          <w:sz w:val="22"/>
          <w:szCs w:val="22"/>
        </w:rPr>
        <w:t xml:space="preserve"> les </w:t>
      </w:r>
      <w:proofErr w:type="spellStart"/>
      <w:r w:rsidRPr="0016437C">
        <w:rPr>
          <w:rFonts w:cstheme="minorHAnsi"/>
          <w:bCs/>
          <w:sz w:val="22"/>
          <w:szCs w:val="22"/>
        </w:rPr>
        <w:t>effets</w:t>
      </w:r>
      <w:proofErr w:type="spellEnd"/>
      <w:r w:rsidRPr="0016437C">
        <w:rPr>
          <w:rFonts w:cstheme="minorHAnsi"/>
          <w:bCs/>
          <w:sz w:val="22"/>
          <w:szCs w:val="22"/>
        </w:rPr>
        <w:t xml:space="preserve"> </w:t>
      </w:r>
      <w:proofErr w:type="spellStart"/>
      <w:r w:rsidRPr="0016437C">
        <w:rPr>
          <w:rFonts w:cstheme="minorHAnsi"/>
          <w:bCs/>
          <w:sz w:val="22"/>
          <w:szCs w:val="22"/>
        </w:rPr>
        <w:t>secondaires</w:t>
      </w:r>
      <w:proofErr w:type="spellEnd"/>
      <w:r w:rsidRPr="0016437C">
        <w:rPr>
          <w:rFonts w:cstheme="minorHAnsi"/>
          <w:bCs/>
          <w:sz w:val="22"/>
          <w:szCs w:val="22"/>
        </w:rPr>
        <w:t xml:space="preserve"> et les </w:t>
      </w:r>
      <w:proofErr w:type="spellStart"/>
      <w:r w:rsidRPr="0016437C">
        <w:rPr>
          <w:rFonts w:cstheme="minorHAnsi"/>
          <w:bCs/>
          <w:sz w:val="22"/>
          <w:szCs w:val="22"/>
        </w:rPr>
        <w:t>événements</w:t>
      </w:r>
      <w:proofErr w:type="spellEnd"/>
      <w:r w:rsidRPr="0016437C">
        <w:rPr>
          <w:rFonts w:cstheme="minorHAnsi"/>
          <w:bCs/>
          <w:sz w:val="22"/>
          <w:szCs w:val="22"/>
        </w:rPr>
        <w:t xml:space="preserve"> </w:t>
      </w:r>
      <w:proofErr w:type="spellStart"/>
      <w:r w:rsidRPr="0016437C">
        <w:rPr>
          <w:rFonts w:cstheme="minorHAnsi"/>
          <w:bCs/>
          <w:sz w:val="22"/>
          <w:szCs w:val="22"/>
        </w:rPr>
        <w:t>indésirables</w:t>
      </w:r>
      <w:proofErr w:type="spellEnd"/>
      <w:r w:rsidRPr="0016437C">
        <w:rPr>
          <w:rFonts w:cstheme="minorHAnsi"/>
          <w:bCs/>
          <w:sz w:val="22"/>
          <w:szCs w:val="22"/>
        </w:rPr>
        <w:t xml:space="preserve"> </w:t>
      </w:r>
      <w:proofErr w:type="spellStart"/>
      <w:r>
        <w:rPr>
          <w:rFonts w:cstheme="minorHAnsi"/>
          <w:bCs/>
          <w:sz w:val="22"/>
          <w:szCs w:val="22"/>
        </w:rPr>
        <w:t>doivent</w:t>
      </w:r>
      <w:proofErr w:type="spellEnd"/>
      <w:r>
        <w:rPr>
          <w:rFonts w:cstheme="minorHAnsi"/>
          <w:bCs/>
          <w:sz w:val="22"/>
          <w:szCs w:val="22"/>
        </w:rPr>
        <w:t xml:space="preserve"> </w:t>
      </w:r>
      <w:proofErr w:type="spellStart"/>
      <w:r>
        <w:rPr>
          <w:rFonts w:cstheme="minorHAnsi"/>
          <w:bCs/>
          <w:sz w:val="22"/>
          <w:szCs w:val="22"/>
        </w:rPr>
        <w:t>être</w:t>
      </w:r>
      <w:proofErr w:type="spellEnd"/>
      <w:r>
        <w:rPr>
          <w:rFonts w:cstheme="minorHAnsi"/>
          <w:bCs/>
          <w:sz w:val="22"/>
          <w:szCs w:val="22"/>
        </w:rPr>
        <w:t xml:space="preserve"> </w:t>
      </w:r>
      <w:proofErr w:type="spellStart"/>
      <w:r>
        <w:rPr>
          <w:rFonts w:cstheme="minorHAnsi"/>
          <w:bCs/>
          <w:sz w:val="22"/>
          <w:szCs w:val="22"/>
        </w:rPr>
        <w:t>signalés</w:t>
      </w:r>
      <w:proofErr w:type="spellEnd"/>
      <w:r>
        <w:rPr>
          <w:rFonts w:cstheme="minorHAnsi"/>
          <w:bCs/>
          <w:sz w:val="22"/>
          <w:szCs w:val="22"/>
        </w:rPr>
        <w:t xml:space="preserve"> </w:t>
      </w:r>
      <w:r w:rsidRPr="0016437C">
        <w:rPr>
          <w:rFonts w:cstheme="minorHAnsi"/>
          <w:bCs/>
          <w:sz w:val="22"/>
          <w:szCs w:val="22"/>
        </w:rPr>
        <w:t xml:space="preserve">à </w:t>
      </w:r>
      <w:r w:rsidRPr="0016437C">
        <w:rPr>
          <w:rFonts w:cstheme="minorHAnsi"/>
          <w:bCs/>
          <w:i/>
          <w:iCs/>
          <w:sz w:val="22"/>
          <w:szCs w:val="22"/>
          <w:highlight w:val="yellow"/>
        </w:rPr>
        <w:t>[</w:t>
      </w:r>
      <w:proofErr w:type="spellStart"/>
      <w:r w:rsidRPr="0016437C">
        <w:rPr>
          <w:rFonts w:cstheme="minorHAnsi"/>
          <w:bCs/>
          <w:i/>
          <w:iCs/>
          <w:sz w:val="22"/>
          <w:szCs w:val="22"/>
          <w:highlight w:val="yellow"/>
        </w:rPr>
        <w:t>insérer</w:t>
      </w:r>
      <w:proofErr w:type="spellEnd"/>
      <w:r w:rsidRPr="0016437C">
        <w:rPr>
          <w:rFonts w:cstheme="minorHAnsi"/>
          <w:bCs/>
          <w:i/>
          <w:iCs/>
          <w:sz w:val="22"/>
          <w:szCs w:val="22"/>
          <w:highlight w:val="yellow"/>
        </w:rPr>
        <w:t xml:space="preserve"> les </w:t>
      </w:r>
      <w:proofErr w:type="spellStart"/>
      <w:r w:rsidRPr="0016437C">
        <w:rPr>
          <w:rFonts w:cstheme="minorHAnsi"/>
          <w:bCs/>
          <w:i/>
          <w:iCs/>
          <w:sz w:val="22"/>
          <w:szCs w:val="22"/>
          <w:highlight w:val="yellow"/>
        </w:rPr>
        <w:t>informations</w:t>
      </w:r>
      <w:proofErr w:type="spellEnd"/>
      <w:r w:rsidRPr="0016437C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16437C">
        <w:rPr>
          <w:rFonts w:cstheme="minorHAnsi"/>
          <w:bCs/>
          <w:i/>
          <w:iCs/>
          <w:sz w:val="22"/>
          <w:szCs w:val="22"/>
          <w:highlight w:val="yellow"/>
        </w:rPr>
        <w:t>pertinentes</w:t>
      </w:r>
      <w:proofErr w:type="spellEnd"/>
      <w:r w:rsidRPr="0016437C">
        <w:rPr>
          <w:rFonts w:cstheme="minorHAnsi"/>
          <w:bCs/>
          <w:i/>
          <w:iCs/>
          <w:sz w:val="22"/>
          <w:szCs w:val="22"/>
          <w:highlight w:val="yellow"/>
        </w:rPr>
        <w:t xml:space="preserve"> sur </w:t>
      </w:r>
      <w:proofErr w:type="spellStart"/>
      <w:r w:rsidRPr="0016437C">
        <w:rPr>
          <w:rFonts w:cstheme="minorHAnsi"/>
          <w:bCs/>
          <w:i/>
          <w:iCs/>
          <w:sz w:val="22"/>
          <w:szCs w:val="22"/>
          <w:highlight w:val="yellow"/>
        </w:rPr>
        <w:t>l'unité</w:t>
      </w:r>
      <w:proofErr w:type="spellEnd"/>
      <w:r w:rsidRPr="0016437C">
        <w:rPr>
          <w:rFonts w:cstheme="minorHAnsi"/>
          <w:bCs/>
          <w:i/>
          <w:iCs/>
          <w:sz w:val="22"/>
          <w:szCs w:val="22"/>
          <w:highlight w:val="yellow"/>
        </w:rPr>
        <w:t xml:space="preserve">/le site et </w:t>
      </w:r>
      <w:proofErr w:type="spellStart"/>
      <w:r w:rsidRPr="0016437C">
        <w:rPr>
          <w:rFonts w:cstheme="minorHAnsi"/>
          <w:bCs/>
          <w:i/>
          <w:iCs/>
          <w:sz w:val="22"/>
          <w:szCs w:val="22"/>
          <w:highlight w:val="yellow"/>
        </w:rPr>
        <w:t>compléter</w:t>
      </w:r>
      <w:proofErr w:type="spellEnd"/>
      <w:r w:rsidRPr="0016437C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r w:rsidRPr="000157B6" w:rsidR="00080359">
        <w:rPr>
          <w:rFonts w:cstheme="minorHAnsi"/>
          <w:bCs/>
          <w:i/>
          <w:iCs/>
          <w:sz w:val="22"/>
          <w:szCs w:val="22"/>
          <w:highlight w:val="yellow"/>
        </w:rPr>
        <w:t xml:space="preserve">avec </w:t>
      </w:r>
      <w:proofErr w:type="spellStart"/>
      <w:r w:rsidRPr="000157B6" w:rsidR="00080359">
        <w:rPr>
          <w:rFonts w:cstheme="minorHAnsi"/>
          <w:bCs/>
          <w:i/>
          <w:iCs/>
          <w:sz w:val="22"/>
          <w:szCs w:val="22"/>
          <w:highlight w:val="yellow"/>
        </w:rPr>
        <w:t>l'approche</w:t>
      </w:r>
      <w:proofErr w:type="spellEnd"/>
      <w:r w:rsidRPr="000157B6" w:rsidR="00080359">
        <w:rPr>
          <w:rFonts w:cstheme="minorHAnsi"/>
          <w:bCs/>
          <w:i/>
          <w:iCs/>
          <w:sz w:val="22"/>
          <w:szCs w:val="22"/>
          <w:highlight w:val="yellow"/>
        </w:rPr>
        <w:t xml:space="preserve"> et les </w:t>
      </w:r>
      <w:proofErr w:type="spellStart"/>
      <w:r w:rsidRPr="000157B6" w:rsidR="00080359">
        <w:rPr>
          <w:rFonts w:cstheme="minorHAnsi"/>
          <w:bCs/>
          <w:i/>
          <w:iCs/>
          <w:sz w:val="22"/>
          <w:szCs w:val="22"/>
          <w:highlight w:val="yellow"/>
        </w:rPr>
        <w:t>protocoles</w:t>
      </w:r>
      <w:proofErr w:type="spellEnd"/>
      <w:r w:rsidRPr="000157B6" w:rsidR="00080359">
        <w:rPr>
          <w:rFonts w:cstheme="minorHAnsi"/>
          <w:bCs/>
          <w:i/>
          <w:iCs/>
          <w:sz w:val="22"/>
          <w:szCs w:val="22"/>
          <w:highlight w:val="yellow"/>
        </w:rPr>
        <w:t xml:space="preserve"> du pays </w:t>
      </w:r>
      <w:proofErr w:type="spellStart"/>
      <w:r w:rsidRPr="000157B6" w:rsidR="00080359">
        <w:rPr>
          <w:rFonts w:cstheme="minorHAnsi"/>
          <w:bCs/>
          <w:i/>
          <w:iCs/>
          <w:sz w:val="22"/>
          <w:szCs w:val="22"/>
          <w:highlight w:val="yellow"/>
        </w:rPr>
        <w:t>en</w:t>
      </w:r>
      <w:proofErr w:type="spellEnd"/>
      <w:r w:rsidRPr="000157B6" w:rsidR="00080359">
        <w:rPr>
          <w:rFonts w:cstheme="minorHAnsi"/>
          <w:bCs/>
          <w:i/>
          <w:iCs/>
          <w:sz w:val="22"/>
          <w:szCs w:val="22"/>
          <w:highlight w:val="yellow"/>
        </w:rPr>
        <w:t xml:space="preserve"> matière de PV </w:t>
      </w:r>
      <w:r w:rsidRPr="000157B6" w:rsidR="00E22642">
        <w:rPr>
          <w:rFonts w:cstheme="minorHAnsi"/>
          <w:bCs/>
          <w:i/>
          <w:iCs/>
          <w:sz w:val="22"/>
          <w:szCs w:val="22"/>
          <w:highlight w:val="yellow"/>
        </w:rPr>
        <w:t xml:space="preserve">; </w:t>
      </w:r>
      <w:proofErr w:type="spellStart"/>
      <w:r w:rsidRPr="000157B6" w:rsidR="00E22642">
        <w:rPr>
          <w:rFonts w:cstheme="minorHAnsi"/>
          <w:bCs/>
          <w:i/>
          <w:iCs/>
          <w:sz w:val="22"/>
          <w:szCs w:val="22"/>
          <w:highlight w:val="yellow"/>
        </w:rPr>
        <w:t>inclure</w:t>
      </w:r>
      <w:proofErr w:type="spellEnd"/>
      <w:r w:rsidRPr="000157B6" w:rsidR="00E22642">
        <w:rPr>
          <w:rFonts w:cstheme="minorHAnsi"/>
          <w:bCs/>
          <w:i/>
          <w:iCs/>
          <w:sz w:val="22"/>
          <w:szCs w:val="22"/>
          <w:highlight w:val="yellow"/>
        </w:rPr>
        <w:t xml:space="preserve"> les </w:t>
      </w:r>
      <w:proofErr w:type="spellStart"/>
      <w:r w:rsidRPr="000157B6" w:rsidR="00E22642">
        <w:rPr>
          <w:rFonts w:cstheme="minorHAnsi"/>
          <w:bCs/>
          <w:i/>
          <w:iCs/>
          <w:sz w:val="22"/>
          <w:szCs w:val="22"/>
          <w:highlight w:val="yellow"/>
        </w:rPr>
        <w:t>éléments</w:t>
      </w:r>
      <w:proofErr w:type="spellEnd"/>
      <w:r w:rsidRPr="000157B6" w:rsidR="00E22642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0157B6" w:rsidR="00E22642">
        <w:rPr>
          <w:rFonts w:cstheme="minorHAnsi"/>
          <w:bCs/>
          <w:i/>
          <w:iCs/>
          <w:sz w:val="22"/>
          <w:szCs w:val="22"/>
          <w:highlight w:val="yellow"/>
        </w:rPr>
        <w:t>suivants</w:t>
      </w:r>
      <w:proofErr w:type="spellEnd"/>
      <w:r w:rsidRPr="000157B6" w:rsidR="00E22642">
        <w:rPr>
          <w:rFonts w:cstheme="minorHAnsi"/>
          <w:bCs/>
          <w:i/>
          <w:iCs/>
          <w:sz w:val="22"/>
          <w:szCs w:val="22"/>
          <w:highlight w:val="yellow"/>
        </w:rPr>
        <w:t xml:space="preserve"> : </w:t>
      </w:r>
    </w:p>
    <w:p w:rsidRPr="000157B6" w:rsidR="00E22642" w:rsidP="00370DC1" w:rsidRDefault="00E22642" w14:paraId="3EF9686F" w14:textId="544E24F7">
      <w:pPr>
        <w:pStyle w:val="EndnoteText"/>
        <w:numPr>
          <w:ilvl w:val="0"/>
          <w:numId w:val="34"/>
        </w:numPr>
        <w:spacing w:line="276" w:lineRule="auto"/>
        <w:jc w:val="both"/>
        <w:rPr>
          <w:rFonts w:cstheme="minorHAnsi"/>
          <w:bCs/>
          <w:i/>
          <w:iCs/>
          <w:sz w:val="22"/>
          <w:szCs w:val="22"/>
          <w:highlight w:val="yellow"/>
        </w:rPr>
      </w:pPr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À qui le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travailleur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de la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santé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doit-il faire rapport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en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cas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de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réaction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indésirable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à un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médicament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? Comment ? (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existe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-t-il des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formulaires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, des sites web, etc.)</w:t>
      </w:r>
    </w:p>
    <w:p w:rsidRPr="000157B6" w:rsidR="00080359" w:rsidP="00370DC1" w:rsidRDefault="00E22642" w14:paraId="1D20E1F0" w14:textId="5E2C2B84">
      <w:pPr>
        <w:pStyle w:val="EndnoteText"/>
        <w:numPr>
          <w:ilvl w:val="0"/>
          <w:numId w:val="34"/>
        </w:numPr>
        <w:spacing w:line="276" w:lineRule="auto"/>
        <w:jc w:val="both"/>
        <w:rPr>
          <w:rFonts w:cstheme="minorHAnsi"/>
          <w:bCs/>
          <w:i/>
          <w:iCs/>
          <w:sz w:val="22"/>
          <w:szCs w:val="22"/>
          <w:highlight w:val="yellow"/>
        </w:rPr>
      </w:pP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Quel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est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le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calendrier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de notification de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ces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événements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environnementaux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? (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exemple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de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l'Ouganda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: Les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réactions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graves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doivent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être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signalées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dans un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délai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de 24 à 48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heures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et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toutes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les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autres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réactions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doivent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être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signalées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dès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que possible,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mais</w:t>
      </w:r>
      <w:proofErr w:type="spellEnd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 xml:space="preserve"> au plus tard dans les 15 </w:t>
      </w:r>
      <w:proofErr w:type="spellStart"/>
      <w:r w:rsidRPr="000157B6">
        <w:rPr>
          <w:rFonts w:cstheme="minorHAnsi"/>
          <w:bCs/>
          <w:i/>
          <w:iCs/>
          <w:sz w:val="22"/>
          <w:szCs w:val="22"/>
          <w:highlight w:val="yellow"/>
        </w:rPr>
        <w:t>jours</w:t>
      </w:r>
      <w:proofErr w:type="spellEnd"/>
      <w:r w:rsidRPr="000157B6" w:rsidR="00D84FBA">
        <w:rPr>
          <w:rFonts w:cstheme="minorHAnsi"/>
          <w:bCs/>
          <w:i/>
          <w:iCs/>
          <w:sz w:val="22"/>
          <w:szCs w:val="22"/>
          <w:highlight w:val="yellow"/>
        </w:rPr>
        <w:t>)</w:t>
      </w:r>
      <w:r w:rsidRPr="000157B6" w:rsidR="00720AE7">
        <w:rPr>
          <w:rFonts w:cstheme="minorHAnsi"/>
          <w:bCs/>
          <w:i/>
          <w:iCs/>
          <w:sz w:val="22"/>
          <w:szCs w:val="22"/>
          <w:highlight w:val="yellow"/>
        </w:rPr>
        <w:t>]</w:t>
      </w:r>
    </w:p>
    <w:p w:rsidRPr="00962853" w:rsidR="005E08D6" w:rsidP="00370DC1" w:rsidRDefault="005E08D6" w14:paraId="0DD21565" w14:textId="77777777">
      <w:pPr>
        <w:pStyle w:val="EndnoteText"/>
        <w:spacing w:line="276" w:lineRule="auto"/>
        <w:jc w:val="both"/>
        <w:rPr>
          <w:rFonts w:cstheme="minorHAnsi"/>
          <w:bCs/>
          <w:sz w:val="22"/>
          <w:szCs w:val="22"/>
        </w:rPr>
      </w:pPr>
    </w:p>
    <w:p w:rsidRPr="00962853" w:rsidR="005E08D6" w:rsidP="00370DC1" w:rsidRDefault="005E08D6" w14:paraId="4F8B69AE" w14:textId="1724B3F9">
      <w:pPr>
        <w:pStyle w:val="Heading2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 w:rsidRPr="00962853">
        <w:rPr>
          <w:rFonts w:asciiTheme="minorHAnsi" w:hAnsiTheme="minorHAnsi" w:cstheme="minorHAnsi"/>
        </w:rPr>
        <w:t xml:space="preserve">Surveillance de la </w:t>
      </w:r>
      <w:proofErr w:type="spellStart"/>
      <w:r w:rsidRPr="00962853">
        <w:rPr>
          <w:rFonts w:asciiTheme="minorHAnsi" w:hAnsiTheme="minorHAnsi" w:cstheme="minorHAnsi"/>
        </w:rPr>
        <w:t>résistance</w:t>
      </w:r>
      <w:proofErr w:type="spellEnd"/>
      <w:r w:rsidRPr="00962853">
        <w:rPr>
          <w:rFonts w:asciiTheme="minorHAnsi" w:hAnsiTheme="minorHAnsi" w:cstheme="minorHAnsi"/>
        </w:rPr>
        <w:t xml:space="preserve"> aux </w:t>
      </w:r>
      <w:proofErr w:type="spellStart"/>
      <w:r w:rsidRPr="00962853">
        <w:rPr>
          <w:rFonts w:asciiTheme="minorHAnsi" w:hAnsiTheme="minorHAnsi" w:cstheme="minorHAnsi"/>
        </w:rPr>
        <w:t>médicaments</w:t>
      </w:r>
      <w:proofErr w:type="spellEnd"/>
    </w:p>
    <w:p w:rsidRPr="005363D8" w:rsidR="00AB0085" w:rsidP="00370DC1" w:rsidRDefault="005363D8" w14:paraId="22F14ABB" w14:textId="5B6FB7FE">
      <w:pPr>
        <w:pStyle w:val="EndnoteText"/>
        <w:spacing w:line="276" w:lineRule="auto"/>
        <w:jc w:val="both"/>
        <w:rPr>
          <w:rFonts w:cstheme="minorHAnsi"/>
          <w:bCs/>
          <w:i/>
          <w:iCs/>
          <w:sz w:val="22"/>
          <w:szCs w:val="22"/>
        </w:rPr>
      </w:pPr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[</w:t>
      </w:r>
      <w:proofErr w:type="spellStart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mentionner</w:t>
      </w:r>
      <w:proofErr w:type="spellEnd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 xml:space="preserve"> les </w:t>
      </w:r>
      <w:proofErr w:type="spellStart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organismes</w:t>
      </w:r>
      <w:proofErr w:type="spellEnd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 xml:space="preserve"> qui, dans </w:t>
      </w:r>
      <w:r w:rsidR="00611981">
        <w:rPr>
          <w:rFonts w:cstheme="minorHAnsi"/>
          <w:bCs/>
          <w:i/>
          <w:iCs/>
          <w:sz w:val="22"/>
          <w:szCs w:val="22"/>
          <w:highlight w:val="yellow"/>
        </w:rPr>
        <w:t xml:space="preserve">le pays, </w:t>
      </w:r>
      <w:proofErr w:type="spellStart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surveilleront</w:t>
      </w:r>
      <w:proofErr w:type="spellEnd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 xml:space="preserve"> la </w:t>
      </w:r>
      <w:proofErr w:type="spellStart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résistance</w:t>
      </w:r>
      <w:proofErr w:type="spellEnd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 xml:space="preserve"> aux </w:t>
      </w:r>
      <w:proofErr w:type="spellStart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médicaments</w:t>
      </w:r>
      <w:proofErr w:type="spellEnd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 xml:space="preserve">, le </w:t>
      </w:r>
      <w:proofErr w:type="spellStart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cas</w:t>
      </w:r>
      <w:proofErr w:type="spellEnd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>échéant</w:t>
      </w:r>
      <w:proofErr w:type="spellEnd"/>
      <w:r w:rsidRPr="00487F98">
        <w:rPr>
          <w:rFonts w:cstheme="minorHAnsi"/>
          <w:bCs/>
          <w:i/>
          <w:iCs/>
          <w:sz w:val="22"/>
          <w:szCs w:val="22"/>
          <w:highlight w:val="yellow"/>
        </w:rPr>
        <w:t xml:space="preserve">] </w:t>
      </w:r>
    </w:p>
    <w:p w:rsidR="00487F98" w:rsidP="00370DC1" w:rsidRDefault="005519CF" w14:paraId="1FAFE1DA" w14:textId="464F9876">
      <w:pPr>
        <w:pStyle w:val="Heading1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proofErr w:type="spellStart"/>
      <w:r w:rsidRPr="00962853">
        <w:rPr>
          <w:rFonts w:asciiTheme="minorHAnsi" w:hAnsiTheme="minorHAnsi" w:cstheme="minorHAnsi"/>
        </w:rPr>
        <w:t>Risques</w:t>
      </w:r>
      <w:proofErr w:type="spellEnd"/>
      <w:r w:rsidRPr="00962853">
        <w:rPr>
          <w:rFonts w:asciiTheme="minorHAnsi" w:hAnsiTheme="minorHAnsi" w:cstheme="minorHAnsi"/>
        </w:rPr>
        <w:t xml:space="preserve"> </w:t>
      </w:r>
      <w:proofErr w:type="spellStart"/>
      <w:r w:rsidRPr="00962853">
        <w:rPr>
          <w:rFonts w:asciiTheme="minorHAnsi" w:hAnsiTheme="minorHAnsi" w:cstheme="minorHAnsi"/>
        </w:rPr>
        <w:t>anticipés</w:t>
      </w:r>
      <w:proofErr w:type="spellEnd"/>
      <w:r w:rsidRPr="00962853">
        <w:rPr>
          <w:rFonts w:asciiTheme="minorHAnsi" w:hAnsiTheme="minorHAnsi" w:cstheme="minorHAnsi"/>
        </w:rPr>
        <w:t xml:space="preserve"> et </w:t>
      </w:r>
      <w:proofErr w:type="spellStart"/>
      <w:r w:rsidRPr="00962853">
        <w:rPr>
          <w:rFonts w:asciiTheme="minorHAnsi" w:hAnsiTheme="minorHAnsi" w:cstheme="minorHAnsi"/>
        </w:rPr>
        <w:t>stratégie</w:t>
      </w:r>
      <w:proofErr w:type="spellEnd"/>
      <w:r w:rsidRPr="00962853">
        <w:rPr>
          <w:rFonts w:asciiTheme="minorHAnsi" w:hAnsiTheme="minorHAnsi" w:cstheme="minorHAnsi"/>
        </w:rPr>
        <w:t xml:space="preserve"> </w:t>
      </w:r>
      <w:proofErr w:type="spellStart"/>
      <w:r w:rsidRPr="00962853">
        <w:rPr>
          <w:rFonts w:asciiTheme="minorHAnsi" w:hAnsiTheme="minorHAnsi" w:cstheme="minorHAnsi"/>
        </w:rPr>
        <w:t>d'atténuation</w:t>
      </w:r>
      <w:proofErr w:type="spellEnd"/>
    </w:p>
    <w:p w:rsidRPr="00487F98" w:rsidR="00487F98" w:rsidP="00370DC1" w:rsidRDefault="00487F98" w14:paraId="7698D05D" w14:textId="072FE301">
      <w:r w:rsidRPr="00487F98">
        <w:rPr>
          <w:rFonts w:cstheme="minorHAnsi"/>
          <w:bCs/>
          <w:i/>
          <w:iCs/>
          <w:highlight w:val="yellow"/>
        </w:rPr>
        <w:t>[</w:t>
      </w:r>
      <w:proofErr w:type="spellStart"/>
      <w:r w:rsidR="00F301B6">
        <w:rPr>
          <w:rFonts w:cstheme="minorHAnsi"/>
          <w:bCs/>
          <w:i/>
          <w:iCs/>
          <w:highlight w:val="yellow"/>
        </w:rPr>
        <w:t>Voir</w:t>
      </w:r>
      <w:proofErr w:type="spellEnd"/>
      <w:r w:rsidR="00F301B6">
        <w:rPr>
          <w:rFonts w:cstheme="minorHAnsi"/>
          <w:bCs/>
          <w:i/>
          <w:iCs/>
          <w:highlight w:val="yellow"/>
        </w:rPr>
        <w:t xml:space="preserve"> ci-dessous des </w:t>
      </w:r>
      <w:proofErr w:type="spellStart"/>
      <w:r w:rsidR="00F301B6">
        <w:rPr>
          <w:rFonts w:cstheme="minorHAnsi"/>
          <w:bCs/>
          <w:i/>
          <w:iCs/>
          <w:highlight w:val="yellow"/>
        </w:rPr>
        <w:t>exemples</w:t>
      </w:r>
      <w:proofErr w:type="spellEnd"/>
      <w:r w:rsidR="00F301B6">
        <w:rPr>
          <w:rFonts w:cstheme="minorHAnsi"/>
          <w:bCs/>
          <w:i/>
          <w:iCs/>
          <w:highlight w:val="yellow"/>
        </w:rPr>
        <w:t xml:space="preserve"> </w:t>
      </w:r>
      <w:r w:rsidRPr="00487F98">
        <w:rPr>
          <w:rFonts w:cstheme="minorHAnsi"/>
          <w:bCs/>
          <w:i/>
          <w:iCs/>
          <w:highlight w:val="yellow"/>
        </w:rPr>
        <w:t>de types/</w:t>
      </w:r>
      <w:proofErr w:type="spellStart"/>
      <w:r w:rsidRPr="00487F98">
        <w:rPr>
          <w:rFonts w:cstheme="minorHAnsi"/>
          <w:bCs/>
          <w:i/>
          <w:iCs/>
          <w:highlight w:val="yellow"/>
        </w:rPr>
        <w:t>catégories</w:t>
      </w:r>
      <w:proofErr w:type="spellEnd"/>
      <w:r w:rsidRPr="00487F98">
        <w:rPr>
          <w:rFonts w:cstheme="minorHAnsi"/>
          <w:bCs/>
          <w:i/>
          <w:iCs/>
          <w:highlight w:val="yellow"/>
        </w:rPr>
        <w:t xml:space="preserve"> de </w:t>
      </w:r>
      <w:proofErr w:type="spellStart"/>
      <w:r w:rsidRPr="00487F98">
        <w:rPr>
          <w:rFonts w:cstheme="minorHAnsi"/>
          <w:bCs/>
          <w:i/>
          <w:iCs/>
          <w:highlight w:val="yellow"/>
        </w:rPr>
        <w:t>risques</w:t>
      </w:r>
      <w:proofErr w:type="spellEnd"/>
      <w:r w:rsidRPr="00487F98">
        <w:rPr>
          <w:rFonts w:cstheme="minorHAnsi"/>
          <w:bCs/>
          <w:i/>
          <w:iCs/>
          <w:highlight w:val="yellow"/>
        </w:rPr>
        <w:t xml:space="preserve"> ; </w:t>
      </w:r>
      <w:proofErr w:type="spellStart"/>
      <w:r w:rsidRPr="00487F98">
        <w:rPr>
          <w:rFonts w:cstheme="minorHAnsi"/>
          <w:bCs/>
          <w:i/>
          <w:iCs/>
          <w:highlight w:val="yellow"/>
        </w:rPr>
        <w:t>veuillez</w:t>
      </w:r>
      <w:proofErr w:type="spellEnd"/>
      <w:r w:rsidRPr="00487F98">
        <w:rPr>
          <w:rFonts w:cstheme="minorHAnsi"/>
          <w:bCs/>
          <w:i/>
          <w:iCs/>
          <w:highlight w:val="yellow"/>
        </w:rPr>
        <w:t xml:space="preserve"> </w:t>
      </w:r>
      <w:proofErr w:type="spellStart"/>
      <w:r w:rsidRPr="00487F98">
        <w:rPr>
          <w:rFonts w:cstheme="minorHAnsi"/>
          <w:bCs/>
          <w:i/>
          <w:iCs/>
          <w:highlight w:val="yellow"/>
        </w:rPr>
        <w:t>ajouter</w:t>
      </w:r>
      <w:proofErr w:type="spellEnd"/>
      <w:r w:rsidRPr="00487F98">
        <w:rPr>
          <w:rFonts w:cstheme="minorHAnsi"/>
          <w:bCs/>
          <w:i/>
          <w:iCs/>
          <w:highlight w:val="yellow"/>
        </w:rPr>
        <w:t xml:space="preserve">/ modifier le </w:t>
      </w:r>
      <w:proofErr w:type="spellStart"/>
      <w:r w:rsidRPr="00487F98">
        <w:rPr>
          <w:rFonts w:cstheme="minorHAnsi"/>
          <w:bCs/>
          <w:i/>
          <w:iCs/>
          <w:highlight w:val="yellow"/>
        </w:rPr>
        <w:t>cas</w:t>
      </w:r>
      <w:proofErr w:type="spellEnd"/>
      <w:r w:rsidRPr="00487F98">
        <w:rPr>
          <w:rFonts w:cstheme="minorHAnsi"/>
          <w:bCs/>
          <w:i/>
          <w:iCs/>
          <w:highlight w:val="yellow"/>
        </w:rPr>
        <w:t xml:space="preserve"> </w:t>
      </w:r>
      <w:proofErr w:type="spellStart"/>
      <w:r w:rsidRPr="00487F98">
        <w:rPr>
          <w:rFonts w:cstheme="minorHAnsi"/>
          <w:bCs/>
          <w:i/>
          <w:iCs/>
          <w:highlight w:val="yellow"/>
        </w:rPr>
        <w:t>échéant</w:t>
      </w:r>
      <w:proofErr w:type="spellEnd"/>
      <w:r w:rsidRPr="00487F98">
        <w:rPr>
          <w:rFonts w:cstheme="minorHAnsi"/>
          <w:bCs/>
          <w:i/>
          <w:iCs/>
          <w:highlight w:val="yellow"/>
        </w:rPr>
        <w:t>]</w:t>
      </w:r>
    </w:p>
    <w:tbl>
      <w:tblPr>
        <w:tblStyle w:val="TableGrid"/>
        <w:tblpPr w:leftFromText="180" w:rightFromText="180" w:vertAnchor="text" w:horzAnchor="page" w:tblpX="1729" w:tblpY="443"/>
        <w:tblW w:w="8658" w:type="dxa"/>
        <w:tblLook w:val="04A0" w:firstRow="1" w:lastRow="0" w:firstColumn="1" w:lastColumn="0" w:noHBand="0" w:noVBand="1"/>
      </w:tblPr>
      <w:tblGrid>
        <w:gridCol w:w="652"/>
        <w:gridCol w:w="3454"/>
        <w:gridCol w:w="4552"/>
      </w:tblGrid>
      <w:tr w:rsidRPr="00962853" w:rsidR="00E13A52" w:rsidTr="00FB0CBF" w14:paraId="59C537D3" w14:textId="77777777">
        <w:trPr>
          <w:trHeight w:val="262"/>
        </w:trPr>
        <w:tc>
          <w:tcPr>
            <w:tcW w:w="8658" w:type="dxa"/>
            <w:gridSpan w:val="3"/>
            <w:shd w:val="clear" w:color="auto" w:fill="012169"/>
          </w:tcPr>
          <w:p w:rsidRPr="005363D8" w:rsidR="00E13A52" w:rsidP="00370DC1" w:rsidRDefault="00E13A52" w14:paraId="50AEB792" w14:textId="21CA2E43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proofErr w:type="spellStart"/>
            <w:r w:rsidRPr="005363D8">
              <w:rPr>
                <w:rFonts w:cstheme="minorHAnsi"/>
                <w:b/>
                <w:i/>
                <w:iCs/>
              </w:rPr>
              <w:t>Risques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et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stratégie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d'atténuation</w:t>
            </w:r>
            <w:proofErr w:type="spellEnd"/>
          </w:p>
        </w:tc>
      </w:tr>
      <w:tr w:rsidRPr="00962853" w:rsidR="00E13A52" w:rsidTr="00FB0CBF" w14:paraId="33FB91DB" w14:textId="77777777">
        <w:trPr>
          <w:trHeight w:val="262"/>
        </w:trPr>
        <w:tc>
          <w:tcPr>
            <w:tcW w:w="538" w:type="dxa"/>
            <w:shd w:val="clear" w:color="auto" w:fill="BFBFBF" w:themeFill="background1" w:themeFillShade="BF"/>
          </w:tcPr>
          <w:p w:rsidRPr="005363D8" w:rsidR="00E13A52" w:rsidP="00370DC1" w:rsidRDefault="00E13A52" w14:paraId="7DFB870B" w14:textId="77777777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 w:rsidRPr="005363D8">
              <w:rPr>
                <w:rFonts w:cstheme="minorHAnsi"/>
                <w:b/>
                <w:i/>
                <w:iCs/>
              </w:rPr>
              <w:t>Non.</w:t>
            </w:r>
          </w:p>
        </w:tc>
        <w:tc>
          <w:tcPr>
            <w:tcW w:w="3489" w:type="dxa"/>
            <w:shd w:val="clear" w:color="auto" w:fill="BFBFBF" w:themeFill="background1" w:themeFillShade="BF"/>
          </w:tcPr>
          <w:p w:rsidRPr="005363D8" w:rsidR="00E13A52" w:rsidP="00370DC1" w:rsidRDefault="00E13A52" w14:paraId="3578B8B1" w14:textId="77777777">
            <w:pPr>
              <w:spacing w:line="276" w:lineRule="auto"/>
              <w:contextualSpacing/>
              <w:jc w:val="both"/>
              <w:rPr>
                <w:rFonts w:cstheme="minorHAnsi"/>
                <w:i/>
                <w:iCs/>
              </w:rPr>
            </w:pPr>
            <w:proofErr w:type="spellStart"/>
            <w:r w:rsidRPr="005363D8">
              <w:rPr>
                <w:rFonts w:cstheme="minorHAnsi"/>
                <w:b/>
                <w:i/>
                <w:iCs/>
              </w:rPr>
              <w:t>Risque</w:t>
            </w:r>
            <w:proofErr w:type="spellEnd"/>
          </w:p>
        </w:tc>
        <w:tc>
          <w:tcPr>
            <w:tcW w:w="4631" w:type="dxa"/>
            <w:shd w:val="clear" w:color="auto" w:fill="BFBFBF" w:themeFill="background1" w:themeFillShade="BF"/>
          </w:tcPr>
          <w:p w:rsidRPr="005363D8" w:rsidR="00E13A52" w:rsidP="00370DC1" w:rsidRDefault="00E13A52" w14:paraId="73523657" w14:textId="77777777">
            <w:pPr>
              <w:spacing w:line="276" w:lineRule="auto"/>
              <w:contextualSpacing/>
              <w:jc w:val="both"/>
              <w:rPr>
                <w:rFonts w:cstheme="minorHAnsi"/>
                <w:i/>
                <w:iCs/>
              </w:rPr>
            </w:pPr>
            <w:proofErr w:type="spellStart"/>
            <w:r w:rsidRPr="005363D8">
              <w:rPr>
                <w:rFonts w:cstheme="minorHAnsi"/>
                <w:b/>
                <w:i/>
                <w:iCs/>
              </w:rPr>
              <w:t>Stratégie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d'atténuation</w:t>
            </w:r>
            <w:proofErr w:type="spellEnd"/>
          </w:p>
        </w:tc>
      </w:tr>
      <w:tr w:rsidRPr="00962853" w:rsidR="007954D8" w:rsidTr="00FB0CBF" w14:paraId="792EAF2D" w14:textId="77777777">
        <w:trPr>
          <w:trHeight w:val="340"/>
        </w:trPr>
        <w:tc>
          <w:tcPr>
            <w:tcW w:w="8658" w:type="dxa"/>
            <w:gridSpan w:val="3"/>
            <w:shd w:val="clear" w:color="auto" w:fill="B8CCE4" w:themeFill="accent1" w:themeFillTint="66"/>
            <w:vAlign w:val="center"/>
          </w:tcPr>
          <w:p w:rsidRPr="005363D8" w:rsidR="007954D8" w:rsidP="00370DC1" w:rsidRDefault="007954D8" w14:paraId="551747EA" w14:textId="77777777">
            <w:pPr>
              <w:spacing w:line="276" w:lineRule="auto"/>
              <w:contextualSpacing/>
              <w:rPr>
                <w:rFonts w:cstheme="minorHAnsi"/>
                <w:b/>
                <w:i/>
                <w:iCs/>
              </w:rPr>
            </w:pPr>
            <w:proofErr w:type="spellStart"/>
            <w:r w:rsidRPr="005363D8">
              <w:rPr>
                <w:rFonts w:cstheme="minorHAnsi"/>
                <w:b/>
                <w:i/>
                <w:iCs/>
              </w:rPr>
              <w:lastRenderedPageBreak/>
              <w:t>Risques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de la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chaîne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d'approvisionnement</w:t>
            </w:r>
            <w:proofErr w:type="spellEnd"/>
          </w:p>
        </w:tc>
      </w:tr>
      <w:tr w:rsidRPr="00962853" w:rsidR="00E13A52" w:rsidTr="00FB0CBF" w14:paraId="74372EA6" w14:textId="77777777">
        <w:trPr>
          <w:trHeight w:val="454"/>
        </w:trPr>
        <w:tc>
          <w:tcPr>
            <w:tcW w:w="538" w:type="dxa"/>
            <w:vAlign w:val="center"/>
          </w:tcPr>
          <w:p w:rsidRPr="005363D8" w:rsidR="00E13A52" w:rsidP="00370DC1" w:rsidRDefault="00E13A52" w14:paraId="0F034304" w14:textId="77777777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 w:rsidRPr="005363D8">
              <w:rPr>
                <w:rFonts w:cstheme="minorHAnsi"/>
                <w:b/>
                <w:i/>
                <w:iCs/>
              </w:rPr>
              <w:t>1</w:t>
            </w:r>
          </w:p>
        </w:tc>
        <w:tc>
          <w:tcPr>
            <w:tcW w:w="3489" w:type="dxa"/>
            <w:vAlign w:val="center"/>
          </w:tcPr>
          <w:p w:rsidRPr="00D84FBA" w:rsidR="00E13A52" w:rsidP="00370DC1" w:rsidRDefault="00E13A52" w14:paraId="7A9C9DE8" w14:textId="4C501A27">
            <w:pPr>
              <w:spacing w:line="276" w:lineRule="auto"/>
              <w:contextualSpacing/>
              <w:jc w:val="both"/>
              <w:rPr>
                <w:rFonts w:cstheme="minorHAnsi"/>
                <w:bCs/>
                <w:i/>
                <w:iCs/>
              </w:rPr>
            </w:pPr>
            <w:proofErr w:type="spellStart"/>
            <w:r w:rsidRPr="005363D8">
              <w:rPr>
                <w:rFonts w:cstheme="minorHAnsi"/>
                <w:b/>
                <w:i/>
                <w:iCs/>
              </w:rPr>
              <w:t>Financement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des ARV </w:t>
            </w:r>
            <w:r w:rsidR="00D84FBA">
              <w:rPr>
                <w:rFonts w:cstheme="minorHAnsi"/>
                <w:bCs/>
                <w:i/>
                <w:iCs/>
              </w:rPr>
              <w:t>(</w:t>
            </w:r>
            <w:proofErr w:type="spellStart"/>
            <w:r w:rsidR="00D84FBA">
              <w:rPr>
                <w:rFonts w:cstheme="minorHAnsi"/>
                <w:bCs/>
                <w:i/>
                <w:iCs/>
              </w:rPr>
              <w:t>si</w:t>
            </w:r>
            <w:proofErr w:type="spellEnd"/>
            <w:r w:rsidR="00D84FBA">
              <w:rPr>
                <w:rFonts w:cstheme="minorHAnsi"/>
                <w:bCs/>
                <w:i/>
                <w:iCs/>
              </w:rPr>
              <w:t xml:space="preserve"> </w:t>
            </w:r>
            <w:proofErr w:type="spellStart"/>
            <w:r w:rsidR="00D84FBA">
              <w:rPr>
                <w:rFonts w:cstheme="minorHAnsi"/>
                <w:bCs/>
                <w:i/>
                <w:iCs/>
              </w:rPr>
              <w:t>insuffisant</w:t>
            </w:r>
            <w:proofErr w:type="spellEnd"/>
            <w:r w:rsidR="00D84FBA">
              <w:rPr>
                <w:rFonts w:cstheme="minorHAnsi"/>
                <w:bCs/>
                <w:i/>
                <w:iCs/>
              </w:rPr>
              <w:t>)</w:t>
            </w:r>
          </w:p>
        </w:tc>
        <w:tc>
          <w:tcPr>
            <w:tcW w:w="4631" w:type="dxa"/>
            <w:vAlign w:val="center"/>
          </w:tcPr>
          <w:p w:rsidRPr="005363D8" w:rsidR="00764E88" w:rsidP="00370DC1" w:rsidRDefault="00764E88" w14:paraId="6CA0E9D3" w14:textId="03251124">
            <w:pPr>
              <w:pStyle w:val="ListParagraph"/>
              <w:numPr>
                <w:ilvl w:val="0"/>
                <w:numId w:val="11"/>
              </w:numPr>
              <w:spacing w:line="276" w:lineRule="auto"/>
              <w:jc w:val="left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Pr="00962853" w:rsidR="007954D8" w:rsidTr="00FB0CBF" w14:paraId="27D2044B" w14:textId="77777777">
        <w:trPr>
          <w:trHeight w:val="454"/>
        </w:trPr>
        <w:tc>
          <w:tcPr>
            <w:tcW w:w="538" w:type="dxa"/>
            <w:vAlign w:val="center"/>
          </w:tcPr>
          <w:p w:rsidRPr="005363D8" w:rsidR="007954D8" w:rsidP="00370DC1" w:rsidRDefault="007954D8" w14:paraId="04057ED5" w14:textId="77777777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 w:rsidRPr="005363D8">
              <w:rPr>
                <w:rFonts w:cstheme="minorHAnsi"/>
                <w:b/>
                <w:i/>
                <w:iCs/>
              </w:rPr>
              <w:t>2</w:t>
            </w:r>
          </w:p>
        </w:tc>
        <w:tc>
          <w:tcPr>
            <w:tcW w:w="3489" w:type="dxa"/>
            <w:vAlign w:val="center"/>
          </w:tcPr>
          <w:p w:rsidRPr="005363D8" w:rsidR="007954D8" w:rsidP="00370DC1" w:rsidRDefault="00D84FBA" w14:paraId="61DF73D7" w14:textId="71A99B05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>
              <w:rPr>
                <w:rFonts w:cstheme="minorHAnsi"/>
                <w:b/>
                <w:i/>
                <w:iCs/>
              </w:rPr>
              <w:t xml:space="preserve">Les </w:t>
            </w:r>
            <w:proofErr w:type="spellStart"/>
            <w:r>
              <w:rPr>
                <w:rFonts w:cstheme="minorHAnsi"/>
                <w:b/>
                <w:i/>
                <w:iCs/>
              </w:rPr>
              <w:t>défis</w:t>
            </w:r>
            <w:proofErr w:type="spellEnd"/>
            <w:r>
              <w:rPr>
                <w:rFonts w:cstheme="minorHAnsi"/>
                <w:b/>
                <w:i/>
                <w:iCs/>
              </w:rPr>
              <w:t xml:space="preserve"> de </w:t>
            </w:r>
            <w:proofErr w:type="spellStart"/>
            <w:r>
              <w:rPr>
                <w:rFonts w:cstheme="minorHAnsi"/>
                <w:b/>
                <w:i/>
                <w:iCs/>
              </w:rPr>
              <w:t>l'approvisionnement</w:t>
            </w:r>
            <w:proofErr w:type="spellEnd"/>
            <w:r>
              <w:rPr>
                <w:rFonts w:cstheme="minorHAnsi"/>
                <w:b/>
                <w:i/>
                <w:iCs/>
              </w:rPr>
              <w:t xml:space="preserve"> </w:t>
            </w:r>
            <w:r w:rsidR="006C2D88">
              <w:rPr>
                <w:rFonts w:cstheme="minorHAnsi"/>
                <w:b/>
                <w:i/>
                <w:iCs/>
              </w:rPr>
              <w:t xml:space="preserve">et de la distribution au </w:t>
            </w:r>
            <w:proofErr w:type="spellStart"/>
            <w:r w:rsidR="006C2D88">
              <w:rPr>
                <w:rFonts w:cstheme="minorHAnsi"/>
                <w:b/>
                <w:i/>
                <w:iCs/>
              </w:rPr>
              <w:t>niveau</w:t>
            </w:r>
            <w:proofErr w:type="spellEnd"/>
            <w:r w:rsidR="006C2D88">
              <w:rPr>
                <w:rFonts w:cstheme="minorHAnsi"/>
                <w:b/>
                <w:i/>
                <w:iCs/>
              </w:rPr>
              <w:t xml:space="preserve"> </w:t>
            </w:r>
            <w:r>
              <w:rPr>
                <w:rFonts w:cstheme="minorHAnsi"/>
                <w:b/>
                <w:i/>
                <w:iCs/>
              </w:rPr>
              <w:t xml:space="preserve">national </w:t>
            </w:r>
          </w:p>
        </w:tc>
        <w:tc>
          <w:tcPr>
            <w:tcW w:w="4631" w:type="dxa"/>
            <w:vAlign w:val="center"/>
          </w:tcPr>
          <w:p w:rsidRPr="005363D8" w:rsidR="00577A85" w:rsidP="00370DC1" w:rsidRDefault="00577A85" w14:paraId="3E74F46E" w14:textId="628CCE96">
            <w:pPr>
              <w:pStyle w:val="ListParagraph"/>
              <w:numPr>
                <w:ilvl w:val="0"/>
                <w:numId w:val="11"/>
              </w:numPr>
              <w:spacing w:line="276" w:lineRule="auto"/>
              <w:jc w:val="left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Pr="00962853" w:rsidR="007954D8" w:rsidTr="00FB0CBF" w14:paraId="1D27F2C3" w14:textId="77777777">
        <w:trPr>
          <w:trHeight w:val="567"/>
        </w:trPr>
        <w:tc>
          <w:tcPr>
            <w:tcW w:w="538" w:type="dxa"/>
            <w:vAlign w:val="center"/>
          </w:tcPr>
          <w:p w:rsidRPr="005363D8" w:rsidR="007954D8" w:rsidP="00370DC1" w:rsidRDefault="007954D8" w14:paraId="3EFB6D0A" w14:textId="77777777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 w:rsidRPr="005363D8">
              <w:rPr>
                <w:rFonts w:cstheme="minorHAnsi"/>
                <w:b/>
                <w:i/>
                <w:iCs/>
              </w:rPr>
              <w:t>3</w:t>
            </w:r>
          </w:p>
        </w:tc>
        <w:tc>
          <w:tcPr>
            <w:tcW w:w="3489" w:type="dxa"/>
            <w:vAlign w:val="center"/>
          </w:tcPr>
          <w:p w:rsidRPr="005363D8" w:rsidR="007954D8" w:rsidP="00370DC1" w:rsidRDefault="007954D8" w14:paraId="4E92F086" w14:textId="5BCF68AC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  <w:color w:val="000000" w:themeColor="text1"/>
              </w:rPr>
            </w:pPr>
            <w:proofErr w:type="spellStart"/>
            <w:r w:rsidRPr="005363D8">
              <w:rPr>
                <w:rFonts w:cstheme="minorHAnsi"/>
                <w:b/>
                <w:i/>
                <w:iCs/>
                <w:color w:val="000000" w:themeColor="text1"/>
              </w:rPr>
              <w:t>Capacité</w:t>
            </w:r>
            <w:proofErr w:type="spellEnd"/>
            <w:r w:rsidRPr="005363D8">
              <w:rPr>
                <w:rFonts w:cstheme="minorHAnsi"/>
                <w:b/>
                <w:i/>
                <w:iCs/>
                <w:color w:val="000000" w:themeColor="text1"/>
              </w:rPr>
              <w:t xml:space="preserve"> de production </w:t>
            </w:r>
            <w:proofErr w:type="spellStart"/>
            <w:r w:rsidRPr="005363D8">
              <w:rPr>
                <w:rFonts w:cstheme="minorHAnsi"/>
                <w:b/>
                <w:i/>
                <w:iCs/>
                <w:color w:val="000000" w:themeColor="text1"/>
              </w:rPr>
              <w:t>internationale</w:t>
            </w:r>
            <w:proofErr w:type="spellEnd"/>
          </w:p>
        </w:tc>
        <w:tc>
          <w:tcPr>
            <w:tcW w:w="4631" w:type="dxa"/>
            <w:vAlign w:val="center"/>
          </w:tcPr>
          <w:p w:rsidRPr="005363D8" w:rsidR="007954D8" w:rsidP="00370DC1" w:rsidRDefault="007954D8" w14:paraId="5C755AC4" w14:textId="2374F082">
            <w:pPr>
              <w:pStyle w:val="ListParagraph"/>
              <w:numPr>
                <w:ilvl w:val="0"/>
                <w:numId w:val="11"/>
              </w:numPr>
              <w:spacing w:line="276" w:lineRule="auto"/>
              <w:jc w:val="left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</w:p>
        </w:tc>
      </w:tr>
      <w:tr w:rsidRPr="00962853" w:rsidR="007954D8" w:rsidTr="00FB0CBF" w14:paraId="6052E603" w14:textId="77777777">
        <w:trPr>
          <w:trHeight w:val="454"/>
        </w:trPr>
        <w:tc>
          <w:tcPr>
            <w:tcW w:w="538" w:type="dxa"/>
            <w:vAlign w:val="center"/>
          </w:tcPr>
          <w:p w:rsidRPr="005363D8" w:rsidR="007954D8" w:rsidP="00370DC1" w:rsidRDefault="007954D8" w14:paraId="59C23C3A" w14:textId="77777777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 w:rsidRPr="005363D8">
              <w:rPr>
                <w:rFonts w:cstheme="minorHAnsi"/>
                <w:b/>
                <w:i/>
                <w:iCs/>
              </w:rPr>
              <w:t>5</w:t>
            </w:r>
          </w:p>
        </w:tc>
        <w:tc>
          <w:tcPr>
            <w:tcW w:w="3489" w:type="dxa"/>
            <w:vAlign w:val="center"/>
          </w:tcPr>
          <w:p w:rsidRPr="005363D8" w:rsidR="007954D8" w:rsidP="00370DC1" w:rsidRDefault="007954D8" w14:paraId="0B8D6D64" w14:textId="77777777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proofErr w:type="spellStart"/>
            <w:r w:rsidRPr="005363D8">
              <w:rPr>
                <w:rFonts w:cstheme="minorHAnsi"/>
                <w:b/>
                <w:i/>
                <w:iCs/>
              </w:rPr>
              <w:t>L'adoption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lente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des régimes à base de DTG</w:t>
            </w:r>
          </w:p>
        </w:tc>
        <w:tc>
          <w:tcPr>
            <w:tcW w:w="4631" w:type="dxa"/>
          </w:tcPr>
          <w:p w:rsidRPr="0094407D" w:rsidR="007954D8" w:rsidP="00370DC1" w:rsidRDefault="007954D8" w14:paraId="4BAA5385" w14:textId="4CA9F49D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cstheme="minorHAnsi"/>
                <w:i/>
                <w:iCs/>
              </w:rPr>
            </w:pPr>
          </w:p>
        </w:tc>
      </w:tr>
      <w:tr w:rsidRPr="00962853" w:rsidR="007954D8" w:rsidTr="00FB0CBF" w14:paraId="2638DA87" w14:textId="77777777">
        <w:trPr>
          <w:trHeight w:val="454"/>
        </w:trPr>
        <w:tc>
          <w:tcPr>
            <w:tcW w:w="538" w:type="dxa"/>
            <w:vAlign w:val="center"/>
          </w:tcPr>
          <w:p w:rsidRPr="005363D8" w:rsidR="007954D8" w:rsidP="00370DC1" w:rsidRDefault="007954D8" w14:paraId="674EF2FB" w14:textId="77777777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 w:rsidRPr="005363D8">
              <w:rPr>
                <w:rFonts w:cstheme="minorHAnsi"/>
                <w:b/>
                <w:i/>
                <w:iCs/>
              </w:rPr>
              <w:t>6</w:t>
            </w:r>
          </w:p>
        </w:tc>
        <w:tc>
          <w:tcPr>
            <w:tcW w:w="3489" w:type="dxa"/>
            <w:vAlign w:val="center"/>
          </w:tcPr>
          <w:p w:rsidRPr="005363D8" w:rsidR="007954D8" w:rsidP="00370DC1" w:rsidRDefault="0094407D" w14:paraId="5ACC649E" w14:textId="53EDEBC5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  <w:color w:val="000000" w:themeColor="text1"/>
              </w:rPr>
            </w:pPr>
            <w:proofErr w:type="spellStart"/>
            <w:r>
              <w:rPr>
                <w:rFonts w:cstheme="minorHAnsi"/>
                <w:b/>
                <w:i/>
                <w:iCs/>
                <w:color w:val="000000" w:themeColor="text1"/>
              </w:rPr>
              <w:t>Défis</w:t>
            </w:r>
            <w:proofErr w:type="spellEnd"/>
            <w:r>
              <w:rPr>
                <w:rFonts w:cstheme="minorHAnsi"/>
                <w:b/>
                <w:i/>
                <w:iCs/>
                <w:color w:val="000000" w:themeColor="text1"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  <w:iCs/>
                <w:color w:val="000000" w:themeColor="text1"/>
              </w:rPr>
              <w:t>réglementaires</w:t>
            </w:r>
            <w:proofErr w:type="spellEnd"/>
          </w:p>
        </w:tc>
        <w:tc>
          <w:tcPr>
            <w:tcW w:w="4631" w:type="dxa"/>
          </w:tcPr>
          <w:p w:rsidRPr="0094407D" w:rsidR="007954D8" w:rsidP="00370DC1" w:rsidRDefault="007954D8" w14:paraId="329C0356" w14:textId="47736599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  <w:tr w:rsidRPr="00962853" w:rsidR="00487F98" w:rsidTr="00FB0CBF" w14:paraId="3C5532F6" w14:textId="77777777">
        <w:trPr>
          <w:trHeight w:val="454"/>
        </w:trPr>
        <w:tc>
          <w:tcPr>
            <w:tcW w:w="538" w:type="dxa"/>
            <w:vAlign w:val="center"/>
          </w:tcPr>
          <w:p w:rsidRPr="005363D8" w:rsidR="00487F98" w:rsidP="00370DC1" w:rsidRDefault="00487F98" w14:paraId="0A4B0501" w14:textId="2B90D824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>
              <w:rPr>
                <w:rFonts w:cstheme="minorHAnsi"/>
                <w:b/>
                <w:i/>
                <w:iCs/>
              </w:rPr>
              <w:t>7</w:t>
            </w:r>
          </w:p>
        </w:tc>
        <w:tc>
          <w:tcPr>
            <w:tcW w:w="3489" w:type="dxa"/>
            <w:vAlign w:val="center"/>
          </w:tcPr>
          <w:p w:rsidRPr="005363D8" w:rsidR="00487F98" w:rsidP="00370DC1" w:rsidRDefault="00487F98" w14:paraId="7B0BB03B" w14:textId="60D3A3DF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  <w:color w:val="000000" w:themeColor="text1"/>
              </w:rPr>
            </w:pPr>
            <w:proofErr w:type="spellStart"/>
            <w:r>
              <w:rPr>
                <w:rFonts w:cstheme="minorHAnsi"/>
                <w:b/>
                <w:i/>
                <w:iCs/>
                <w:color w:val="000000" w:themeColor="text1"/>
              </w:rPr>
              <w:t>Niveau</w:t>
            </w:r>
            <w:proofErr w:type="spellEnd"/>
            <w:r>
              <w:rPr>
                <w:rFonts w:cstheme="minorHAnsi"/>
                <w:b/>
                <w:i/>
                <w:iCs/>
                <w:color w:val="000000" w:themeColor="text1"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  <w:iCs/>
                <w:color w:val="000000" w:themeColor="text1"/>
              </w:rPr>
              <w:t>élevé</w:t>
            </w:r>
            <w:proofErr w:type="spellEnd"/>
            <w:r>
              <w:rPr>
                <w:rFonts w:cstheme="minorHAnsi"/>
                <w:b/>
                <w:i/>
                <w:iCs/>
                <w:color w:val="000000" w:themeColor="text1"/>
              </w:rPr>
              <w:t xml:space="preserve"> des stocks de formulations </w:t>
            </w:r>
            <w:proofErr w:type="spellStart"/>
            <w:r>
              <w:rPr>
                <w:rFonts w:cstheme="minorHAnsi"/>
                <w:b/>
                <w:i/>
                <w:iCs/>
                <w:color w:val="000000" w:themeColor="text1"/>
              </w:rPr>
              <w:t>existantes</w:t>
            </w:r>
            <w:proofErr w:type="spellEnd"/>
          </w:p>
        </w:tc>
        <w:tc>
          <w:tcPr>
            <w:tcW w:w="4631" w:type="dxa"/>
          </w:tcPr>
          <w:p w:rsidRPr="0094407D" w:rsidR="00487F98" w:rsidP="00370DC1" w:rsidRDefault="00487F98" w14:paraId="0A74C278" w14:textId="77777777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  <w:tr w:rsidRPr="00962853" w:rsidR="007954D8" w:rsidTr="00FB0CBF" w14:paraId="7D5924F5" w14:textId="77777777">
        <w:trPr>
          <w:trHeight w:val="340"/>
        </w:trPr>
        <w:tc>
          <w:tcPr>
            <w:tcW w:w="8658" w:type="dxa"/>
            <w:gridSpan w:val="3"/>
            <w:shd w:val="clear" w:color="auto" w:fill="B8CCE4" w:themeFill="accent1" w:themeFillTint="66"/>
            <w:vAlign w:val="center"/>
          </w:tcPr>
          <w:p w:rsidRPr="005363D8" w:rsidR="007954D8" w:rsidP="00370DC1" w:rsidRDefault="007954D8" w14:paraId="6E24302D" w14:textId="77777777">
            <w:pPr>
              <w:spacing w:line="276" w:lineRule="auto"/>
              <w:rPr>
                <w:rFonts w:cstheme="minorHAnsi"/>
                <w:i/>
                <w:iCs/>
                <w:color w:val="000000" w:themeColor="text1"/>
              </w:rPr>
            </w:pPr>
            <w:proofErr w:type="spellStart"/>
            <w:r w:rsidRPr="005363D8">
              <w:rPr>
                <w:rFonts w:cstheme="minorHAnsi"/>
                <w:b/>
                <w:i/>
                <w:iCs/>
              </w:rPr>
              <w:t>Risques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liés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à la communication</w:t>
            </w:r>
          </w:p>
        </w:tc>
      </w:tr>
      <w:tr w:rsidRPr="00962853" w:rsidR="007954D8" w:rsidTr="00FB0CBF" w14:paraId="492515D3" w14:textId="77777777">
        <w:trPr>
          <w:trHeight w:val="510"/>
        </w:trPr>
        <w:tc>
          <w:tcPr>
            <w:tcW w:w="538" w:type="dxa"/>
            <w:vAlign w:val="center"/>
          </w:tcPr>
          <w:p w:rsidRPr="005363D8" w:rsidR="007954D8" w:rsidP="00370DC1" w:rsidRDefault="00487F98" w14:paraId="5FEBB986" w14:textId="512BC4A3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>
              <w:rPr>
                <w:rFonts w:cstheme="minorHAnsi"/>
                <w:b/>
                <w:i/>
                <w:iCs/>
              </w:rPr>
              <w:t>8</w:t>
            </w:r>
          </w:p>
        </w:tc>
        <w:tc>
          <w:tcPr>
            <w:tcW w:w="3489" w:type="dxa"/>
            <w:vAlign w:val="center"/>
          </w:tcPr>
          <w:p w:rsidRPr="005363D8" w:rsidR="007954D8" w:rsidP="00370DC1" w:rsidRDefault="007954D8" w14:paraId="71392085" w14:textId="77777777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proofErr w:type="spellStart"/>
            <w:r w:rsidRPr="005363D8">
              <w:rPr>
                <w:rFonts w:cstheme="minorHAnsi"/>
                <w:b/>
                <w:i/>
                <w:iCs/>
              </w:rPr>
              <w:t>Résistance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au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changement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de régime par les patients</w:t>
            </w:r>
          </w:p>
        </w:tc>
        <w:tc>
          <w:tcPr>
            <w:tcW w:w="4631" w:type="dxa"/>
          </w:tcPr>
          <w:p w:rsidRPr="0094407D" w:rsidR="007954D8" w:rsidP="00370DC1" w:rsidRDefault="007954D8" w14:paraId="37A17C2A" w14:textId="0CCF1071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cstheme="minorHAnsi"/>
                <w:i/>
                <w:iCs/>
              </w:rPr>
            </w:pPr>
          </w:p>
        </w:tc>
      </w:tr>
      <w:tr w:rsidRPr="00962853" w:rsidR="007954D8" w:rsidTr="00FB0CBF" w14:paraId="74D4EB76" w14:textId="77777777">
        <w:trPr>
          <w:trHeight w:val="567"/>
        </w:trPr>
        <w:tc>
          <w:tcPr>
            <w:tcW w:w="538" w:type="dxa"/>
            <w:vAlign w:val="center"/>
          </w:tcPr>
          <w:p w:rsidRPr="005363D8" w:rsidR="007954D8" w:rsidP="00370DC1" w:rsidRDefault="00487F98" w14:paraId="2EC30CD4" w14:textId="17238732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>
              <w:rPr>
                <w:rFonts w:cstheme="minorHAnsi"/>
                <w:b/>
                <w:i/>
                <w:iCs/>
              </w:rPr>
              <w:t>9</w:t>
            </w:r>
          </w:p>
        </w:tc>
        <w:tc>
          <w:tcPr>
            <w:tcW w:w="3489" w:type="dxa"/>
            <w:vAlign w:val="center"/>
          </w:tcPr>
          <w:p w:rsidRPr="005363D8" w:rsidR="007954D8" w:rsidP="00370DC1" w:rsidRDefault="007954D8" w14:paraId="0BCFFE4E" w14:textId="77777777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proofErr w:type="spellStart"/>
            <w:r w:rsidRPr="005363D8">
              <w:rPr>
                <w:rFonts w:cstheme="minorHAnsi"/>
                <w:b/>
                <w:i/>
                <w:iCs/>
              </w:rPr>
              <w:t>Résistance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au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changement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des habitudes de prescription par les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prescripteurs</w:t>
            </w:r>
            <w:proofErr w:type="spellEnd"/>
          </w:p>
        </w:tc>
        <w:tc>
          <w:tcPr>
            <w:tcW w:w="4631" w:type="dxa"/>
            <w:vAlign w:val="center"/>
          </w:tcPr>
          <w:p w:rsidRPr="005363D8" w:rsidR="007954D8" w:rsidP="00370DC1" w:rsidRDefault="007954D8" w14:paraId="2B6FA335" w14:textId="222F54A5">
            <w:pPr>
              <w:pStyle w:val="ListParagraph"/>
              <w:numPr>
                <w:ilvl w:val="0"/>
                <w:numId w:val="11"/>
              </w:numPr>
              <w:spacing w:line="276" w:lineRule="auto"/>
              <w:jc w:val="left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Pr="00962853" w:rsidR="007954D8" w:rsidTr="00FB0CBF" w14:paraId="2A53EDE4" w14:textId="77777777">
        <w:trPr>
          <w:trHeight w:val="340"/>
        </w:trPr>
        <w:tc>
          <w:tcPr>
            <w:tcW w:w="8658" w:type="dxa"/>
            <w:gridSpan w:val="3"/>
            <w:shd w:val="clear" w:color="auto" w:fill="B8CCE4" w:themeFill="accent1" w:themeFillTint="66"/>
            <w:vAlign w:val="center"/>
          </w:tcPr>
          <w:p w:rsidRPr="005363D8" w:rsidR="007954D8" w:rsidP="00370DC1" w:rsidRDefault="007954D8" w14:paraId="0FC5978E" w14:textId="77777777">
            <w:pPr>
              <w:spacing w:line="276" w:lineRule="auto"/>
              <w:jc w:val="both"/>
              <w:rPr>
                <w:rFonts w:cstheme="minorHAnsi"/>
                <w:i/>
                <w:iCs/>
              </w:rPr>
            </w:pPr>
            <w:proofErr w:type="spellStart"/>
            <w:r w:rsidRPr="005363D8">
              <w:rPr>
                <w:rFonts w:cstheme="minorHAnsi"/>
                <w:b/>
                <w:i/>
                <w:iCs/>
              </w:rPr>
              <w:t>Risques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au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niveau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des installations</w:t>
            </w:r>
          </w:p>
        </w:tc>
      </w:tr>
      <w:tr w:rsidRPr="00962853" w:rsidR="007954D8" w:rsidTr="00FB0CBF" w14:paraId="0A5D47E8" w14:textId="77777777">
        <w:trPr>
          <w:trHeight w:val="454"/>
        </w:trPr>
        <w:tc>
          <w:tcPr>
            <w:tcW w:w="538" w:type="dxa"/>
            <w:vAlign w:val="center"/>
          </w:tcPr>
          <w:p w:rsidRPr="005363D8" w:rsidR="007954D8" w:rsidP="00370DC1" w:rsidRDefault="007954D8" w14:paraId="70DA0C5B" w14:textId="77777777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 w:rsidRPr="005363D8">
              <w:rPr>
                <w:rFonts w:cstheme="minorHAnsi"/>
                <w:b/>
                <w:i/>
                <w:iCs/>
              </w:rPr>
              <w:t>10</w:t>
            </w:r>
          </w:p>
        </w:tc>
        <w:tc>
          <w:tcPr>
            <w:tcW w:w="3489" w:type="dxa"/>
            <w:vAlign w:val="center"/>
          </w:tcPr>
          <w:p w:rsidRPr="005363D8" w:rsidR="007954D8" w:rsidP="00370DC1" w:rsidRDefault="00F937C4" w14:paraId="7818F8AA" w14:textId="697ABC88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proofErr w:type="spellStart"/>
            <w:r>
              <w:rPr>
                <w:rFonts w:cstheme="minorHAnsi"/>
                <w:b/>
                <w:i/>
                <w:iCs/>
              </w:rPr>
              <w:t>Contraintes</w:t>
            </w:r>
            <w:proofErr w:type="spellEnd"/>
            <w:r>
              <w:rPr>
                <w:rFonts w:cstheme="minorHAnsi"/>
                <w:b/>
                <w:i/>
                <w:iCs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  <w:iCs/>
              </w:rPr>
              <w:t>en</w:t>
            </w:r>
            <w:proofErr w:type="spellEnd"/>
            <w:r>
              <w:rPr>
                <w:rFonts w:cstheme="minorHAnsi"/>
                <w:b/>
                <w:i/>
                <w:iCs/>
              </w:rPr>
              <w:t xml:space="preserve"> matière de </w:t>
            </w:r>
            <w:proofErr w:type="spellStart"/>
            <w:r w:rsidR="006C2D88">
              <w:rPr>
                <w:rFonts w:cstheme="minorHAnsi"/>
                <w:b/>
                <w:i/>
                <w:iCs/>
              </w:rPr>
              <w:t>soins</w:t>
            </w:r>
            <w:proofErr w:type="spellEnd"/>
            <w:r w:rsidR="006C2D88">
              <w:rPr>
                <w:rFonts w:cstheme="minorHAnsi"/>
                <w:b/>
                <w:i/>
                <w:iCs/>
              </w:rPr>
              <w:t xml:space="preserve"> de </w:t>
            </w:r>
            <w:proofErr w:type="spellStart"/>
            <w:r w:rsidR="006C2D88">
              <w:rPr>
                <w:rFonts w:cstheme="minorHAnsi"/>
                <w:b/>
                <w:i/>
                <w:iCs/>
              </w:rPr>
              <w:t>santé</w:t>
            </w:r>
            <w:proofErr w:type="spellEnd"/>
            <w:r w:rsidR="006C2D88">
              <w:rPr>
                <w:rFonts w:cstheme="minorHAnsi"/>
                <w:b/>
                <w:i/>
                <w:iCs/>
              </w:rPr>
              <w:t xml:space="preserve"> </w:t>
            </w:r>
          </w:p>
        </w:tc>
        <w:tc>
          <w:tcPr>
            <w:tcW w:w="4631" w:type="dxa"/>
            <w:vAlign w:val="center"/>
          </w:tcPr>
          <w:p w:rsidRPr="005363D8" w:rsidR="007954D8" w:rsidP="00370DC1" w:rsidRDefault="007954D8" w14:paraId="6FB4E90B" w14:textId="23C75BB6">
            <w:pPr>
              <w:pStyle w:val="ListParagraph"/>
              <w:numPr>
                <w:ilvl w:val="0"/>
                <w:numId w:val="11"/>
              </w:numPr>
              <w:spacing w:line="276" w:lineRule="auto"/>
              <w:jc w:val="left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Pr="00962853" w:rsidR="007954D8" w:rsidTr="00FB0CBF" w14:paraId="73164D07" w14:textId="77777777">
        <w:trPr>
          <w:trHeight w:val="567"/>
        </w:trPr>
        <w:tc>
          <w:tcPr>
            <w:tcW w:w="538" w:type="dxa"/>
            <w:vAlign w:val="center"/>
          </w:tcPr>
          <w:p w:rsidRPr="005363D8" w:rsidR="007954D8" w:rsidP="00370DC1" w:rsidRDefault="00487F98" w14:paraId="73169C30" w14:textId="30FC0027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>
              <w:rPr>
                <w:rFonts w:cstheme="minorHAnsi"/>
                <w:b/>
                <w:i/>
                <w:iCs/>
              </w:rPr>
              <w:t>11</w:t>
            </w:r>
          </w:p>
        </w:tc>
        <w:tc>
          <w:tcPr>
            <w:tcW w:w="3489" w:type="dxa"/>
            <w:vAlign w:val="center"/>
          </w:tcPr>
          <w:p w:rsidRPr="005363D8" w:rsidR="007954D8" w:rsidP="00370DC1" w:rsidRDefault="007954D8" w14:paraId="4572E01D" w14:textId="77777777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 w:rsidRPr="005363D8">
              <w:rPr>
                <w:rFonts w:cstheme="minorHAnsi"/>
                <w:b/>
                <w:i/>
                <w:iCs/>
              </w:rPr>
              <w:t xml:space="preserve">Apparition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d'effets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secondaires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non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identifiés</w:t>
            </w:r>
            <w:proofErr w:type="spellEnd"/>
            <w:r w:rsidRPr="005363D8">
              <w:rPr>
                <w:rFonts w:cstheme="minorHAnsi"/>
                <w:b/>
                <w:i/>
                <w:iCs/>
              </w:rPr>
              <w:t xml:space="preserve"> </w:t>
            </w:r>
            <w:proofErr w:type="spellStart"/>
            <w:r w:rsidRPr="005363D8">
              <w:rPr>
                <w:rFonts w:cstheme="minorHAnsi"/>
                <w:b/>
                <w:i/>
                <w:iCs/>
              </w:rPr>
              <w:t>auparavant</w:t>
            </w:r>
            <w:proofErr w:type="spellEnd"/>
          </w:p>
        </w:tc>
        <w:tc>
          <w:tcPr>
            <w:tcW w:w="4631" w:type="dxa"/>
            <w:vAlign w:val="center"/>
          </w:tcPr>
          <w:p w:rsidRPr="00F937C4" w:rsidR="007954D8" w:rsidP="00370DC1" w:rsidRDefault="007954D8" w14:paraId="630C89FB" w14:textId="5D5965AF">
            <w:pPr>
              <w:pStyle w:val="ListParagraph"/>
              <w:numPr>
                <w:ilvl w:val="0"/>
                <w:numId w:val="35"/>
              </w:numPr>
              <w:spacing w:line="276" w:lineRule="auto"/>
              <w:jc w:val="left"/>
              <w:rPr>
                <w:rFonts w:cstheme="minorHAnsi"/>
                <w:i/>
                <w:iCs/>
              </w:rPr>
            </w:pPr>
          </w:p>
        </w:tc>
      </w:tr>
      <w:tr w:rsidRPr="00962853" w:rsidR="00B436FA" w:rsidTr="00FB0CBF" w14:paraId="5B53B1E7" w14:textId="77777777">
        <w:trPr>
          <w:trHeight w:val="340"/>
        </w:trPr>
        <w:tc>
          <w:tcPr>
            <w:tcW w:w="8658" w:type="dxa"/>
            <w:gridSpan w:val="3"/>
            <w:shd w:val="clear" w:color="auto" w:fill="B8CCE4" w:themeFill="accent1" w:themeFillTint="66"/>
            <w:vAlign w:val="center"/>
          </w:tcPr>
          <w:p w:rsidRPr="005363D8" w:rsidR="00B436FA" w:rsidP="00370DC1" w:rsidRDefault="00B436FA" w14:paraId="2FC2B2D7" w14:textId="1036D099">
            <w:pPr>
              <w:spacing w:line="276" w:lineRule="auto"/>
              <w:jc w:val="both"/>
              <w:rPr>
                <w:rFonts w:cstheme="minorHAnsi"/>
                <w:b/>
                <w:i/>
                <w:iCs/>
              </w:rPr>
            </w:pPr>
            <w:proofErr w:type="spellStart"/>
            <w:r>
              <w:rPr>
                <w:rFonts w:cstheme="minorHAnsi"/>
                <w:b/>
                <w:i/>
                <w:iCs/>
              </w:rPr>
              <w:t>Risques</w:t>
            </w:r>
            <w:proofErr w:type="spellEnd"/>
            <w:r>
              <w:rPr>
                <w:rFonts w:cstheme="minorHAnsi"/>
                <w:b/>
                <w:i/>
                <w:iCs/>
              </w:rPr>
              <w:t xml:space="preserve"> COVID-19</w:t>
            </w:r>
          </w:p>
        </w:tc>
      </w:tr>
      <w:tr w:rsidRPr="00962853" w:rsidR="00B436FA" w:rsidTr="00FB0CBF" w14:paraId="288FF485" w14:textId="77777777">
        <w:trPr>
          <w:trHeight w:val="567"/>
        </w:trPr>
        <w:tc>
          <w:tcPr>
            <w:tcW w:w="538" w:type="dxa"/>
            <w:vAlign w:val="center"/>
          </w:tcPr>
          <w:p w:rsidRPr="005363D8" w:rsidR="00B436FA" w:rsidP="00370DC1" w:rsidRDefault="00B436FA" w14:paraId="5F0BB66A" w14:textId="7F0155C5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>
              <w:rPr>
                <w:rFonts w:cstheme="minorHAnsi"/>
                <w:b/>
                <w:i/>
                <w:iCs/>
              </w:rPr>
              <w:t>12</w:t>
            </w:r>
          </w:p>
        </w:tc>
        <w:tc>
          <w:tcPr>
            <w:tcW w:w="3489" w:type="dxa"/>
            <w:vAlign w:val="center"/>
          </w:tcPr>
          <w:p w:rsidRPr="005363D8" w:rsidR="00B436FA" w:rsidP="00370DC1" w:rsidRDefault="00836B64" w14:paraId="5F61DB66" w14:textId="3F6906A1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>
              <w:rPr>
                <w:rFonts w:cstheme="minorHAnsi"/>
                <w:b/>
                <w:i/>
                <w:iCs/>
              </w:rPr>
              <w:t xml:space="preserve">Restrictions de voyage </w:t>
            </w:r>
          </w:p>
        </w:tc>
        <w:tc>
          <w:tcPr>
            <w:tcW w:w="4631" w:type="dxa"/>
            <w:vAlign w:val="center"/>
          </w:tcPr>
          <w:p w:rsidRPr="00F937C4" w:rsidR="00B436FA" w:rsidP="00370DC1" w:rsidRDefault="00B436FA" w14:paraId="482AAF32" w14:textId="77777777">
            <w:pPr>
              <w:pStyle w:val="ListParagraph"/>
              <w:numPr>
                <w:ilvl w:val="0"/>
                <w:numId w:val="35"/>
              </w:numPr>
              <w:spacing w:line="276" w:lineRule="auto"/>
              <w:jc w:val="left"/>
              <w:rPr>
                <w:rFonts w:cstheme="minorHAnsi"/>
                <w:i/>
                <w:iCs/>
              </w:rPr>
            </w:pPr>
          </w:p>
        </w:tc>
      </w:tr>
      <w:tr w:rsidRPr="00962853" w:rsidR="00836B64" w:rsidTr="00FB0CBF" w14:paraId="5223A252" w14:textId="77777777">
        <w:trPr>
          <w:trHeight w:val="567"/>
        </w:trPr>
        <w:tc>
          <w:tcPr>
            <w:tcW w:w="538" w:type="dxa"/>
            <w:vAlign w:val="center"/>
          </w:tcPr>
          <w:p w:rsidR="00836B64" w:rsidP="00370DC1" w:rsidRDefault="00836B64" w14:paraId="2BC452DF" w14:textId="57916C3B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>
              <w:rPr>
                <w:rFonts w:cstheme="minorHAnsi"/>
                <w:b/>
                <w:i/>
                <w:iCs/>
              </w:rPr>
              <w:t>13</w:t>
            </w:r>
          </w:p>
        </w:tc>
        <w:tc>
          <w:tcPr>
            <w:tcW w:w="3489" w:type="dxa"/>
            <w:vAlign w:val="center"/>
          </w:tcPr>
          <w:p w:rsidR="00836B64" w:rsidP="00370DC1" w:rsidRDefault="00836B64" w14:paraId="25ABF082" w14:textId="593D66F1">
            <w:pPr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</w:rPr>
            </w:pPr>
            <w:r>
              <w:rPr>
                <w:rFonts w:cstheme="minorHAnsi"/>
                <w:b/>
                <w:i/>
                <w:iCs/>
              </w:rPr>
              <w:t xml:space="preserve">Restrictions sur les </w:t>
            </w:r>
            <w:proofErr w:type="spellStart"/>
            <w:r>
              <w:rPr>
                <w:rFonts w:cstheme="minorHAnsi"/>
                <w:b/>
                <w:i/>
                <w:iCs/>
              </w:rPr>
              <w:t>réunions</w:t>
            </w:r>
            <w:proofErr w:type="spellEnd"/>
            <w:r>
              <w:rPr>
                <w:rFonts w:cstheme="minorHAnsi"/>
                <w:b/>
                <w:i/>
                <w:iCs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  <w:iCs/>
              </w:rPr>
              <w:t>en</w:t>
            </w:r>
            <w:proofErr w:type="spellEnd"/>
            <w:r>
              <w:rPr>
                <w:rFonts w:cstheme="minorHAnsi"/>
                <w:b/>
                <w:i/>
                <w:iCs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  <w:iCs/>
              </w:rPr>
              <w:t>personne</w:t>
            </w:r>
            <w:proofErr w:type="spellEnd"/>
            <w:r>
              <w:rPr>
                <w:rFonts w:cstheme="minorHAnsi"/>
                <w:b/>
                <w:i/>
                <w:iCs/>
              </w:rPr>
              <w:t xml:space="preserve"> </w:t>
            </w:r>
          </w:p>
        </w:tc>
        <w:tc>
          <w:tcPr>
            <w:tcW w:w="4631" w:type="dxa"/>
            <w:vAlign w:val="center"/>
          </w:tcPr>
          <w:p w:rsidRPr="00F937C4" w:rsidR="00836B64" w:rsidP="00370DC1" w:rsidRDefault="00836B64" w14:paraId="5036673E" w14:textId="77777777">
            <w:pPr>
              <w:pStyle w:val="ListParagraph"/>
              <w:numPr>
                <w:ilvl w:val="0"/>
                <w:numId w:val="35"/>
              </w:numPr>
              <w:spacing w:line="276" w:lineRule="auto"/>
              <w:jc w:val="left"/>
              <w:rPr>
                <w:rFonts w:cstheme="minorHAnsi"/>
                <w:i/>
                <w:iCs/>
              </w:rPr>
            </w:pPr>
          </w:p>
        </w:tc>
      </w:tr>
    </w:tbl>
    <w:p w:rsidRPr="00962853" w:rsidR="00024D37" w:rsidP="00370DC1" w:rsidRDefault="00024D37" w14:paraId="6D641DB5" w14:textId="77777777">
      <w:pPr>
        <w:pStyle w:val="EndnoteText"/>
        <w:spacing w:line="276" w:lineRule="auto"/>
        <w:jc w:val="both"/>
        <w:rPr>
          <w:rFonts w:cstheme="minorHAnsi"/>
          <w:b/>
          <w:bCs/>
          <w:color w:val="548DD4" w:themeColor="text2" w:themeTint="99"/>
          <w:sz w:val="28"/>
          <w:szCs w:val="22"/>
        </w:rPr>
      </w:pPr>
    </w:p>
    <w:p w:rsidR="00020CE2" w:rsidP="00370DC1" w:rsidRDefault="00020CE2" w14:paraId="0F04E430" w14:textId="5CE7AE7C">
      <w:pPr>
        <w:pStyle w:val="Heading1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Rôles</w:t>
      </w:r>
      <w:proofErr w:type="spellEnd"/>
      <w:r>
        <w:rPr>
          <w:rFonts w:asciiTheme="minorHAnsi" w:hAnsiTheme="minorHAnsi" w:cstheme="minorHAnsi"/>
        </w:rPr>
        <w:t xml:space="preserve"> et </w:t>
      </w:r>
      <w:commentRangeStart w:id="10"/>
      <w:proofErr w:type="spellStart"/>
      <w:r>
        <w:rPr>
          <w:rFonts w:asciiTheme="minorHAnsi" w:hAnsiTheme="minorHAnsi" w:cstheme="minorHAnsi"/>
        </w:rPr>
        <w:t>responsabilités</w:t>
      </w:r>
      <w:proofErr w:type="spellEnd"/>
      <w:r>
        <w:rPr>
          <w:rFonts w:asciiTheme="minorHAnsi" w:hAnsiTheme="minorHAnsi" w:cstheme="minorHAnsi"/>
        </w:rPr>
        <w:t xml:space="preserve"> </w:t>
      </w:r>
      <w:commentRangeEnd w:id="10"/>
      <w:r w:rsidR="0054307D">
        <w:rPr>
          <w:rStyle w:val="CommentReference"/>
          <w:rFonts w:asciiTheme="minorHAnsi" w:hAnsiTheme="minorHAnsi" w:eastAsiaTheme="minorHAnsi" w:cstheme="minorBidi"/>
          <w:color w:val="auto"/>
        </w:rPr>
        <w:commentReference w:id="10"/>
      </w:r>
    </w:p>
    <w:tbl>
      <w:tblPr>
        <w:tblW w:w="10490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600" w:firstRow="0" w:lastRow="0" w:firstColumn="0" w:lastColumn="0" w:noHBand="1" w:noVBand="1"/>
      </w:tblPr>
      <w:tblGrid>
        <w:gridCol w:w="2694"/>
        <w:gridCol w:w="7796"/>
      </w:tblGrid>
      <w:tr w:rsidRPr="000157B6" w:rsidR="00020CE2" w:rsidTr="007F5C54" w14:paraId="57DB8A51" w14:textId="77777777">
        <w:trPr>
          <w:trHeight w:val="115"/>
        </w:trPr>
        <w:tc>
          <w:tcPr>
            <w:tcW w:w="2694" w:type="dxa"/>
            <w:shd w:val="clear" w:color="auto" w:fill="244061" w:themeFill="accent1" w:themeFillShade="8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834629" w:rsidR="00020CE2" w:rsidP="00370DC1" w:rsidRDefault="00834629" w14:paraId="1AB2C60F" w14:textId="1E30F606">
            <w:pPr>
              <w:ind w:left="100"/>
              <w:jc w:val="center"/>
              <w:rPr>
                <w:rFonts w:cstheme="minorHAnsi"/>
                <w:b/>
                <w:color w:val="FFFFFF" w:themeColor="background1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Cs w:val="20"/>
              </w:rPr>
              <w:t>INTERVENANTS</w:t>
            </w:r>
          </w:p>
        </w:tc>
        <w:tc>
          <w:tcPr>
            <w:tcW w:w="7796" w:type="dxa"/>
            <w:shd w:val="clear" w:color="auto" w:fill="244061" w:themeFill="accent1" w:themeFillShade="80"/>
            <w:vAlign w:val="center"/>
          </w:tcPr>
          <w:p w:rsidRPr="00834629" w:rsidR="00020CE2" w:rsidP="00370DC1" w:rsidRDefault="00020CE2" w14:paraId="5764FA1A" w14:textId="575B14E0">
            <w:pPr>
              <w:ind w:left="100"/>
              <w:jc w:val="center"/>
              <w:rPr>
                <w:rFonts w:cstheme="minorHAnsi"/>
                <w:b/>
                <w:color w:val="FFFFFF" w:themeColor="background1"/>
                <w:szCs w:val="20"/>
              </w:rPr>
            </w:pPr>
            <w:r w:rsidRPr="00834629">
              <w:rPr>
                <w:rFonts w:cstheme="minorHAnsi"/>
                <w:b/>
                <w:bCs/>
                <w:color w:val="FFFFFF" w:themeColor="background1"/>
                <w:szCs w:val="20"/>
              </w:rPr>
              <w:t>LES PRINCIPALES RESPONSABILITÉS</w:t>
            </w:r>
          </w:p>
        </w:tc>
      </w:tr>
      <w:tr w:rsidRPr="000157B6" w:rsidR="007F5C54" w:rsidTr="007F5C54" w14:paraId="175EE236" w14:textId="77777777">
        <w:trPr>
          <w:trHeight w:val="543"/>
        </w:trPr>
        <w:tc>
          <w:tcPr>
            <w:tcW w:w="2694" w:type="dxa"/>
            <w:shd w:val="clear" w:color="auto" w:fill="E9F0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834629" w:rsidR="0054307D" w:rsidP="00370DC1" w:rsidRDefault="0054307D" w14:paraId="3FDC17A5" w14:textId="77777777">
            <w:pPr>
              <w:rPr>
                <w:rFonts w:cstheme="minorHAnsi"/>
                <w:b/>
                <w:szCs w:val="20"/>
              </w:rPr>
            </w:pPr>
            <w:r w:rsidRPr="00834629">
              <w:rPr>
                <w:rFonts w:cstheme="minorHAnsi"/>
                <w:b/>
                <w:szCs w:val="20"/>
              </w:rPr>
              <w:t>National</w:t>
            </w:r>
          </w:p>
        </w:tc>
        <w:tc>
          <w:tcPr>
            <w:tcW w:w="7796" w:type="dxa"/>
            <w:vAlign w:val="center"/>
          </w:tcPr>
          <w:p w:rsidR="0054307D" w:rsidP="00370DC1" w:rsidRDefault="006C2D88" w14:paraId="7983E33D" w14:textId="249F90B0">
            <w:pPr>
              <w:pStyle w:val="ListParagraph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Programme national de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lutte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contre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le VIH </w:t>
            </w:r>
            <w:r w:rsidR="0054307D">
              <w:rPr>
                <w:rFonts w:asciiTheme="minorHAnsi" w:hAnsiTheme="minorHAnsi" w:cstheme="minorHAnsi"/>
                <w:szCs w:val="20"/>
              </w:rPr>
              <w:t xml:space="preserve">: </w:t>
            </w:r>
          </w:p>
          <w:p w:rsidR="0054307D" w:rsidP="00370DC1" w:rsidRDefault="0054307D" w14:paraId="53B1943E" w14:textId="54BCC1B8">
            <w:pPr>
              <w:pStyle w:val="ListParagraph"/>
              <w:numPr>
                <w:ilvl w:val="1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szCs w:val="20"/>
              </w:rPr>
            </w:pPr>
            <w:r w:rsidRPr="00834629">
              <w:rPr>
                <w:rFonts w:asciiTheme="minorHAnsi" w:hAnsiTheme="minorHAnsi" w:cstheme="minorHAnsi"/>
                <w:szCs w:val="20"/>
              </w:rPr>
              <w:t xml:space="preserve">Coordination, </w:t>
            </w:r>
            <w:proofErr w:type="spellStart"/>
            <w:r w:rsidRPr="00834629">
              <w:rPr>
                <w:rFonts w:asciiTheme="minorHAnsi" w:hAnsiTheme="minorHAnsi" w:cstheme="minorHAnsi"/>
                <w:szCs w:val="20"/>
              </w:rPr>
              <w:t>encadrement</w:t>
            </w:r>
            <w:proofErr w:type="spellEnd"/>
            <w:r w:rsidRPr="00834629">
              <w:rPr>
                <w:rFonts w:asciiTheme="minorHAnsi" w:hAnsiTheme="minorHAnsi" w:cstheme="minorHAnsi"/>
                <w:szCs w:val="20"/>
              </w:rPr>
              <w:t xml:space="preserve">, collaboration, </w:t>
            </w:r>
            <w:proofErr w:type="spellStart"/>
            <w:r w:rsidRPr="00834629">
              <w:rPr>
                <w:rFonts w:asciiTheme="minorHAnsi" w:hAnsiTheme="minorHAnsi" w:cstheme="minorHAnsi"/>
                <w:szCs w:val="20"/>
              </w:rPr>
              <w:t>suivi</w:t>
            </w:r>
            <w:proofErr w:type="spellEnd"/>
            <w:r w:rsidRPr="00834629">
              <w:rPr>
                <w:rFonts w:asciiTheme="minorHAnsi" w:hAnsiTheme="minorHAnsi" w:cstheme="minorHAnsi"/>
                <w:szCs w:val="20"/>
              </w:rPr>
              <w:t xml:space="preserve"> et </w:t>
            </w:r>
            <w:proofErr w:type="spellStart"/>
            <w:r w:rsidRPr="00834629">
              <w:rPr>
                <w:rFonts w:asciiTheme="minorHAnsi" w:hAnsiTheme="minorHAnsi" w:cstheme="minorHAnsi"/>
                <w:szCs w:val="20"/>
              </w:rPr>
              <w:t>évaluation</w:t>
            </w:r>
            <w:proofErr w:type="spellEnd"/>
            <w:r w:rsidRPr="00834629">
              <w:rPr>
                <w:rFonts w:asciiTheme="minorHAnsi" w:hAnsiTheme="minorHAnsi" w:cstheme="minorHAnsi"/>
                <w:szCs w:val="20"/>
              </w:rPr>
              <w:t xml:space="preserve">, et supervision du </w:t>
            </w:r>
            <w:proofErr w:type="spellStart"/>
            <w:r w:rsidRPr="00834629">
              <w:rPr>
                <w:rFonts w:asciiTheme="minorHAnsi" w:hAnsiTheme="minorHAnsi" w:cstheme="minorHAnsi"/>
                <w:szCs w:val="20"/>
              </w:rPr>
              <w:t>soutien</w:t>
            </w:r>
            <w:proofErr w:type="spellEnd"/>
          </w:p>
          <w:p w:rsidRPr="00834629" w:rsidR="0054307D" w:rsidP="00370DC1" w:rsidRDefault="0054307D" w14:paraId="68609DC3" w14:textId="35265692">
            <w:pPr>
              <w:pStyle w:val="ListParagraph"/>
              <w:numPr>
                <w:ilvl w:val="1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</w:rPr>
              <w:t>Budgétisation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et planification</w:t>
            </w:r>
          </w:p>
          <w:p w:rsidRPr="00834629" w:rsidR="0054307D" w:rsidP="00370DC1" w:rsidRDefault="0054307D" w14:paraId="5E90FCBE" w14:textId="77777777">
            <w:pPr>
              <w:pStyle w:val="ListParagraph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szCs w:val="20"/>
              </w:rPr>
            </w:pPr>
            <w:r w:rsidRPr="00834629">
              <w:rPr>
                <w:rFonts w:asciiTheme="minorHAnsi" w:hAnsiTheme="minorHAnsi" w:cstheme="minorHAnsi"/>
                <w:szCs w:val="20"/>
              </w:rPr>
              <w:t xml:space="preserve">Les </w:t>
            </w:r>
            <w:r>
              <w:rPr>
                <w:rFonts w:asciiTheme="minorHAnsi" w:hAnsiTheme="minorHAnsi" w:cstheme="minorHAnsi"/>
                <w:szCs w:val="20"/>
              </w:rPr>
              <w:t xml:space="preserve">entrepôts </w:t>
            </w:r>
            <w:r w:rsidRPr="00834629">
              <w:rPr>
                <w:rFonts w:asciiTheme="minorHAnsi" w:hAnsiTheme="minorHAnsi" w:cstheme="minorHAnsi"/>
                <w:szCs w:val="20"/>
              </w:rPr>
              <w:t xml:space="preserve">: </w:t>
            </w:r>
            <w:proofErr w:type="spellStart"/>
            <w:r w:rsidRPr="00834629">
              <w:rPr>
                <w:rFonts w:asciiTheme="minorHAnsi" w:hAnsiTheme="minorHAnsi" w:cstheme="minorHAnsi"/>
                <w:szCs w:val="20"/>
              </w:rPr>
              <w:t>Approvisionnement</w:t>
            </w:r>
            <w:proofErr w:type="spellEnd"/>
            <w:r w:rsidRPr="00834629">
              <w:rPr>
                <w:rFonts w:asciiTheme="minorHAnsi" w:hAnsiTheme="minorHAnsi" w:cstheme="minorHAnsi"/>
                <w:szCs w:val="20"/>
              </w:rPr>
              <w:t xml:space="preserve"> et distribution des </w:t>
            </w:r>
            <w:proofErr w:type="spellStart"/>
            <w:r w:rsidRPr="00834629">
              <w:rPr>
                <w:rFonts w:asciiTheme="minorHAnsi" w:hAnsiTheme="minorHAnsi" w:cstheme="minorHAnsi"/>
                <w:szCs w:val="20"/>
              </w:rPr>
              <w:t>marchandises</w:t>
            </w:r>
            <w:proofErr w:type="spellEnd"/>
          </w:p>
          <w:p w:rsidRPr="007F5C54" w:rsidR="0054307D" w:rsidP="00370DC1" w:rsidRDefault="0054307D" w14:paraId="1F2721DD" w14:textId="44432717">
            <w:pPr>
              <w:pStyle w:val="ListParagraph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</w:rPr>
              <w:lastRenderedPageBreak/>
              <w:t>Unité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de la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chaîne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d'approvisionnement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834629">
              <w:rPr>
                <w:rFonts w:asciiTheme="minorHAnsi" w:hAnsiTheme="minorHAnsi" w:cstheme="minorHAnsi"/>
                <w:szCs w:val="20"/>
              </w:rPr>
              <w:t xml:space="preserve">: </w:t>
            </w:r>
            <w:proofErr w:type="spellStart"/>
            <w:r w:rsidRPr="00834629">
              <w:rPr>
                <w:rFonts w:asciiTheme="minorHAnsi" w:hAnsiTheme="minorHAnsi" w:cstheme="minorHAnsi"/>
                <w:szCs w:val="20"/>
              </w:rPr>
              <w:t>Prévision</w:t>
            </w:r>
            <w:proofErr w:type="spellEnd"/>
            <w:r w:rsidRPr="00834629">
              <w:rPr>
                <w:rFonts w:asciiTheme="minorHAnsi" w:hAnsiTheme="minorHAnsi" w:cstheme="minorHAnsi"/>
                <w:szCs w:val="20"/>
              </w:rPr>
              <w:t xml:space="preserve">, quantification et </w:t>
            </w:r>
            <w:proofErr w:type="spellStart"/>
            <w:r w:rsidRPr="00834629">
              <w:rPr>
                <w:rFonts w:asciiTheme="minorHAnsi" w:hAnsiTheme="minorHAnsi" w:cstheme="minorHAnsi"/>
                <w:szCs w:val="20"/>
              </w:rPr>
              <w:t>achat</w:t>
            </w:r>
            <w:proofErr w:type="spellEnd"/>
            <w:r w:rsidRPr="00834629">
              <w:rPr>
                <w:rFonts w:asciiTheme="minorHAnsi" w:hAnsiTheme="minorHAnsi" w:cstheme="minorHAnsi"/>
                <w:szCs w:val="20"/>
              </w:rPr>
              <w:t xml:space="preserve"> de </w:t>
            </w:r>
            <w:proofErr w:type="spellStart"/>
            <w:r w:rsidRPr="00834629">
              <w:rPr>
                <w:rFonts w:asciiTheme="minorHAnsi" w:hAnsiTheme="minorHAnsi" w:cstheme="minorHAnsi"/>
                <w:szCs w:val="20"/>
              </w:rPr>
              <w:t>produits</w:t>
            </w:r>
            <w:proofErr w:type="spellEnd"/>
            <w:r w:rsidRPr="00834629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</w:tr>
      <w:tr w:rsidRPr="000157B6" w:rsidR="00020CE2" w:rsidTr="007F5C54" w14:paraId="14CC396F" w14:textId="77777777">
        <w:trPr>
          <w:trHeight w:val="543"/>
        </w:trPr>
        <w:tc>
          <w:tcPr>
            <w:tcW w:w="2694" w:type="dxa"/>
            <w:shd w:val="clear" w:color="auto" w:fill="E9F0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157B6" w:rsidR="00020CE2" w:rsidP="00370DC1" w:rsidRDefault="00020CE2" w14:paraId="0F37FEC8" w14:textId="77777777">
            <w:pPr>
              <w:rPr>
                <w:rFonts w:cstheme="minorHAnsi"/>
                <w:b/>
                <w:szCs w:val="20"/>
              </w:rPr>
            </w:pPr>
            <w:r w:rsidRPr="000157B6">
              <w:rPr>
                <w:rFonts w:cstheme="minorHAnsi"/>
                <w:b/>
                <w:bCs/>
                <w:szCs w:val="20"/>
              </w:rPr>
              <w:lastRenderedPageBreak/>
              <w:t>District</w:t>
            </w:r>
          </w:p>
        </w:tc>
        <w:tc>
          <w:tcPr>
            <w:tcW w:w="7796" w:type="dxa"/>
            <w:vAlign w:val="center"/>
          </w:tcPr>
          <w:p w:rsidRPr="000157B6" w:rsidR="00020CE2" w:rsidP="00370DC1" w:rsidRDefault="00020CE2" w14:paraId="7235FDAB" w14:textId="55D7282F">
            <w:pPr>
              <w:pStyle w:val="ListParagraph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szCs w:val="20"/>
              </w:rPr>
            </w:pPr>
            <w:r w:rsidRPr="000157B6">
              <w:rPr>
                <w:rFonts w:asciiTheme="minorHAnsi" w:hAnsiTheme="minorHAnsi" w:cstheme="minorHAnsi"/>
                <w:szCs w:val="20"/>
              </w:rPr>
              <w:t xml:space="preserve">Rapports avec le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soutien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du </w:t>
            </w:r>
            <w:proofErr w:type="spellStart"/>
            <w:r w:rsidRPr="000157B6" w:rsidR="0054307D">
              <w:rPr>
                <w:rFonts w:asciiTheme="minorHAnsi" w:hAnsiTheme="minorHAnsi" w:cstheme="minorHAnsi"/>
                <w:szCs w:val="20"/>
              </w:rPr>
              <w:t>biostatisticien</w:t>
            </w:r>
            <w:proofErr w:type="spellEnd"/>
            <w:r w:rsidRPr="000157B6" w:rsidR="0054307D">
              <w:rPr>
                <w:rFonts w:asciiTheme="minorHAnsi" w:hAnsiTheme="minorHAnsi" w:cstheme="minorHAnsi"/>
                <w:szCs w:val="20"/>
              </w:rPr>
              <w:t xml:space="preserve"> de </w:t>
            </w:r>
            <w:r w:rsidRPr="000157B6">
              <w:rPr>
                <w:rFonts w:asciiTheme="minorHAnsi" w:hAnsiTheme="minorHAnsi" w:cstheme="minorHAnsi"/>
                <w:szCs w:val="20"/>
              </w:rPr>
              <w:t xml:space="preserve">district </w:t>
            </w:r>
          </w:p>
          <w:p w:rsidRPr="000157B6" w:rsidR="00020CE2" w:rsidP="00370DC1" w:rsidRDefault="00020CE2" w14:paraId="1C51801C" w14:textId="20166C59">
            <w:pPr>
              <w:pStyle w:val="ListParagraph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Fournir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une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supervision et un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soutien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aux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établissements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de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santé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pour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mettre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en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œuvre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la </w:t>
            </w:r>
            <w:r w:rsidR="00384C8D">
              <w:rPr>
                <w:rFonts w:asciiTheme="minorHAnsi" w:hAnsiTheme="minorHAnsi" w:cstheme="minorHAnsi"/>
                <w:szCs w:val="20"/>
              </w:rPr>
              <w:t xml:space="preserve">transition </w:t>
            </w:r>
            <w:proofErr w:type="spellStart"/>
            <w:r w:rsidR="00384C8D">
              <w:rPr>
                <w:rFonts w:asciiTheme="minorHAnsi" w:hAnsiTheme="minorHAnsi" w:cstheme="minorHAnsi"/>
                <w:szCs w:val="20"/>
              </w:rPr>
              <w:t>vers</w:t>
            </w:r>
            <w:proofErr w:type="spellEnd"/>
            <w:r w:rsidR="00384C8D">
              <w:rPr>
                <w:rFonts w:asciiTheme="minorHAnsi" w:hAnsiTheme="minorHAnsi" w:cstheme="minorHAnsi"/>
                <w:szCs w:val="20"/>
              </w:rPr>
              <w:t xml:space="preserve"> le pDTG</w:t>
            </w:r>
          </w:p>
          <w:p w:rsidRPr="007F5C54" w:rsidR="00020CE2" w:rsidP="00370DC1" w:rsidRDefault="00020CE2" w14:paraId="5C53C57D" w14:textId="3DB65BDA">
            <w:pPr>
              <w:pStyle w:val="ListParagraph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b/>
                <w:szCs w:val="20"/>
              </w:rPr>
            </w:pP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Soutenir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la supervision et le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mentorat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des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établissements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de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santé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pour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faciliter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la mise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en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œuvre</w:t>
            </w:r>
            <w:proofErr w:type="spellEnd"/>
          </w:p>
        </w:tc>
      </w:tr>
      <w:tr w:rsidRPr="000157B6" w:rsidR="00020CE2" w:rsidTr="007F5C54" w14:paraId="1E7E9011" w14:textId="77777777">
        <w:trPr>
          <w:trHeight w:val="543"/>
        </w:trPr>
        <w:tc>
          <w:tcPr>
            <w:tcW w:w="2694" w:type="dxa"/>
            <w:shd w:val="clear" w:color="auto" w:fill="E9F0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157B6" w:rsidR="00020CE2" w:rsidP="00370DC1" w:rsidRDefault="00020CE2" w14:paraId="79C415D0" w14:textId="77777777">
            <w:pPr>
              <w:rPr>
                <w:rFonts w:cstheme="minorHAnsi"/>
                <w:b/>
                <w:szCs w:val="20"/>
              </w:rPr>
            </w:pPr>
            <w:proofErr w:type="spellStart"/>
            <w:r w:rsidRPr="000157B6">
              <w:rPr>
                <w:rFonts w:cstheme="minorHAnsi"/>
                <w:b/>
                <w:bCs/>
                <w:szCs w:val="20"/>
              </w:rPr>
              <w:t>Partenaires</w:t>
            </w:r>
            <w:proofErr w:type="spellEnd"/>
            <w:r w:rsidRPr="000157B6">
              <w:rPr>
                <w:rFonts w:cstheme="minorHAnsi"/>
                <w:b/>
                <w:bCs/>
                <w:szCs w:val="20"/>
              </w:rPr>
              <w:t xml:space="preserve"> de mise </w:t>
            </w:r>
            <w:proofErr w:type="spellStart"/>
            <w:r w:rsidRPr="000157B6">
              <w:rPr>
                <w:rFonts w:cstheme="minorHAnsi"/>
                <w:b/>
                <w:bCs/>
                <w:szCs w:val="20"/>
              </w:rPr>
              <w:t>en</w:t>
            </w:r>
            <w:proofErr w:type="spellEnd"/>
            <w:r w:rsidRPr="000157B6">
              <w:rPr>
                <w:rFonts w:cstheme="minorHAnsi"/>
                <w:b/>
                <w:bCs/>
                <w:szCs w:val="20"/>
              </w:rPr>
              <w:t xml:space="preserve"> </w:t>
            </w:r>
            <w:proofErr w:type="spellStart"/>
            <w:r w:rsidRPr="000157B6">
              <w:rPr>
                <w:rFonts w:cstheme="minorHAnsi"/>
                <w:b/>
                <w:bCs/>
                <w:szCs w:val="20"/>
              </w:rPr>
              <w:t>œuvre</w:t>
            </w:r>
            <w:proofErr w:type="spellEnd"/>
          </w:p>
        </w:tc>
        <w:tc>
          <w:tcPr>
            <w:tcW w:w="7796" w:type="dxa"/>
            <w:vAlign w:val="center"/>
          </w:tcPr>
          <w:p w:rsidRPr="000157B6" w:rsidR="00020CE2" w:rsidP="00370DC1" w:rsidRDefault="00020CE2" w14:paraId="7285B921" w14:textId="6D12DCCE">
            <w:pPr>
              <w:pStyle w:val="ListParagraph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Travailler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conjointement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avec les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équipes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de district et les mentors pour former et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encadrer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les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travailleurs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de la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santé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sur le </w:t>
            </w:r>
            <w:r w:rsidR="002F6746">
              <w:rPr>
                <w:rFonts w:asciiTheme="minorHAnsi" w:hAnsiTheme="minorHAnsi" w:cstheme="minorHAnsi"/>
                <w:szCs w:val="20"/>
              </w:rPr>
              <w:t>pDTG</w:t>
            </w:r>
          </w:p>
          <w:p w:rsidRPr="007F5C54" w:rsidR="00020CE2" w:rsidP="00370DC1" w:rsidRDefault="00020CE2" w14:paraId="473D875B" w14:textId="2020B414">
            <w:pPr>
              <w:pStyle w:val="ListParagraph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Soutenir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les rapports,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l'utilisation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des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données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et les examens des performances au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niveau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des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établissements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de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santé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par le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biais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du district</w:t>
            </w:r>
          </w:p>
        </w:tc>
      </w:tr>
      <w:tr w:rsidRPr="000157B6" w:rsidR="00020CE2" w:rsidTr="007F5C54" w14:paraId="0EBC7090" w14:textId="77777777">
        <w:trPr>
          <w:trHeight w:val="543"/>
        </w:trPr>
        <w:tc>
          <w:tcPr>
            <w:tcW w:w="2694" w:type="dxa"/>
            <w:shd w:val="clear" w:color="auto" w:fill="E9F0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157B6" w:rsidR="00020CE2" w:rsidP="00370DC1" w:rsidRDefault="00020CE2" w14:paraId="7869A620" w14:textId="77777777">
            <w:pPr>
              <w:rPr>
                <w:rFonts w:cstheme="minorHAnsi"/>
                <w:b/>
                <w:szCs w:val="20"/>
              </w:rPr>
            </w:pPr>
            <w:proofErr w:type="spellStart"/>
            <w:r w:rsidRPr="000157B6">
              <w:rPr>
                <w:rFonts w:cstheme="minorHAnsi"/>
                <w:b/>
                <w:bCs/>
                <w:szCs w:val="20"/>
              </w:rPr>
              <w:t>Établissement</w:t>
            </w:r>
            <w:proofErr w:type="spellEnd"/>
            <w:r w:rsidRPr="000157B6">
              <w:rPr>
                <w:rFonts w:cstheme="minorHAnsi"/>
                <w:b/>
                <w:bCs/>
                <w:szCs w:val="20"/>
              </w:rPr>
              <w:t xml:space="preserve"> de </w:t>
            </w:r>
            <w:proofErr w:type="spellStart"/>
            <w:r w:rsidRPr="000157B6">
              <w:rPr>
                <w:rFonts w:cstheme="minorHAnsi"/>
                <w:b/>
                <w:bCs/>
                <w:szCs w:val="20"/>
              </w:rPr>
              <w:t>santé</w:t>
            </w:r>
            <w:proofErr w:type="spellEnd"/>
          </w:p>
        </w:tc>
        <w:tc>
          <w:tcPr>
            <w:tcW w:w="7796" w:type="dxa"/>
            <w:vAlign w:val="center"/>
          </w:tcPr>
          <w:p w:rsidRPr="000157B6" w:rsidR="00020CE2" w:rsidP="00370DC1" w:rsidRDefault="002F6746" w14:paraId="0817248C" w14:textId="3C3872AE">
            <w:pPr>
              <w:pStyle w:val="ListParagraph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Transition des enfants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éligibles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vivant avec le VIH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vers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la GDPT </w:t>
            </w:r>
          </w:p>
          <w:p w:rsidRPr="000157B6" w:rsidR="00020CE2" w:rsidP="00370DC1" w:rsidRDefault="00020CE2" w14:paraId="7AE1B957" w14:textId="77777777">
            <w:pPr>
              <w:pStyle w:val="ListParagraph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Recueillir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systématiquement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les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données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des patients et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veiller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à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ce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que les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registres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contiennent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une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documentation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précise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et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complète</w:t>
            </w:r>
            <w:proofErr w:type="spellEnd"/>
          </w:p>
          <w:p w:rsidRPr="000157B6" w:rsidR="00020CE2" w:rsidP="00370DC1" w:rsidRDefault="00020CE2" w14:paraId="40903E6F" w14:textId="77777777">
            <w:pPr>
              <w:pStyle w:val="ListParagraph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szCs w:val="20"/>
              </w:rPr>
            </w:pPr>
            <w:r w:rsidRPr="000157B6">
              <w:rPr>
                <w:rFonts w:asciiTheme="minorHAnsi" w:hAnsiTheme="minorHAnsi" w:cstheme="minorHAnsi"/>
                <w:szCs w:val="20"/>
              </w:rPr>
              <w:t xml:space="preserve">Quantification et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commande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de </w:t>
            </w: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fournitures</w:t>
            </w:r>
            <w:proofErr w:type="spellEnd"/>
          </w:p>
          <w:p w:rsidRPr="000157B6" w:rsidR="00020CE2" w:rsidP="00370DC1" w:rsidRDefault="00020CE2" w14:paraId="458B5EB0" w14:textId="203E651C">
            <w:pPr>
              <w:pStyle w:val="ListParagraph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0157B6">
              <w:rPr>
                <w:rFonts w:asciiTheme="minorHAnsi" w:hAnsiTheme="minorHAnsi" w:cstheme="minorHAnsi"/>
                <w:szCs w:val="20"/>
              </w:rPr>
              <w:t>Éducation</w:t>
            </w:r>
            <w:proofErr w:type="spellEnd"/>
            <w:r w:rsidRPr="000157B6">
              <w:rPr>
                <w:rFonts w:asciiTheme="minorHAnsi" w:hAnsiTheme="minorHAnsi" w:cstheme="minorHAnsi"/>
                <w:szCs w:val="20"/>
              </w:rPr>
              <w:t xml:space="preserve"> des clients </w:t>
            </w:r>
            <w:r w:rsidR="002F6746">
              <w:rPr>
                <w:rFonts w:asciiTheme="minorHAnsi" w:hAnsiTheme="minorHAnsi" w:cstheme="minorHAnsi"/>
                <w:szCs w:val="20"/>
              </w:rPr>
              <w:t xml:space="preserve">et des </w:t>
            </w:r>
            <w:proofErr w:type="spellStart"/>
            <w:r w:rsidR="002F6746">
              <w:rPr>
                <w:rFonts w:asciiTheme="minorHAnsi" w:hAnsiTheme="minorHAnsi" w:cstheme="minorHAnsi"/>
                <w:szCs w:val="20"/>
              </w:rPr>
              <w:t>soignants</w:t>
            </w:r>
            <w:proofErr w:type="spellEnd"/>
          </w:p>
        </w:tc>
      </w:tr>
      <w:tr w:rsidRPr="000157B6" w:rsidR="00020CE2" w:rsidTr="007F5C54" w14:paraId="43C6E3B0" w14:textId="77777777">
        <w:trPr>
          <w:trHeight w:val="543"/>
        </w:trPr>
        <w:tc>
          <w:tcPr>
            <w:tcW w:w="2694" w:type="dxa"/>
            <w:shd w:val="clear" w:color="auto" w:fill="E9F0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157B6" w:rsidR="00020CE2" w:rsidP="00370DC1" w:rsidRDefault="00020CE2" w14:paraId="6E3709FE" w14:textId="17C797DB">
            <w:pPr>
              <w:rPr>
                <w:rFonts w:cstheme="minorHAnsi"/>
                <w:b/>
                <w:bCs/>
                <w:szCs w:val="20"/>
              </w:rPr>
            </w:pPr>
            <w:r w:rsidRPr="000157B6">
              <w:rPr>
                <w:rFonts w:cstheme="minorHAnsi"/>
                <w:b/>
                <w:bCs/>
                <w:szCs w:val="20"/>
              </w:rPr>
              <w:t>Société civile</w:t>
            </w:r>
          </w:p>
        </w:tc>
        <w:tc>
          <w:tcPr>
            <w:tcW w:w="7796" w:type="dxa"/>
            <w:vAlign w:val="center"/>
          </w:tcPr>
          <w:p w:rsidRPr="000157B6" w:rsidR="00020CE2" w:rsidP="00370DC1" w:rsidRDefault="00BD11A9" w14:paraId="7279BFFB" w14:textId="6510A0C2">
            <w:pPr>
              <w:pStyle w:val="ListParagraph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HAnsi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</w:rPr>
              <w:t>Élaborer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du matériel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d'information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sur les </w:t>
            </w:r>
            <w:proofErr w:type="spellStart"/>
            <w:r w:rsidRPr="000157B6" w:rsidR="00020CE2">
              <w:rPr>
                <w:rFonts w:asciiTheme="minorHAnsi" w:hAnsiTheme="minorHAnsi" w:cstheme="minorHAnsi"/>
                <w:szCs w:val="20"/>
              </w:rPr>
              <w:t>traitements</w:t>
            </w:r>
            <w:proofErr w:type="spellEnd"/>
            <w:r w:rsidRPr="000157B6" w:rsidR="00020CE2">
              <w:rPr>
                <w:rFonts w:asciiTheme="minorHAnsi" w:hAnsiTheme="minorHAnsi" w:cstheme="minorHAnsi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fournir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un </w:t>
            </w:r>
            <w:proofErr w:type="spellStart"/>
            <w:r w:rsidRPr="000157B6" w:rsidR="00020CE2">
              <w:rPr>
                <w:rFonts w:asciiTheme="minorHAnsi" w:hAnsiTheme="minorHAnsi" w:cstheme="minorHAnsi"/>
                <w:szCs w:val="20"/>
              </w:rPr>
              <w:t>soutien</w:t>
            </w:r>
            <w:proofErr w:type="spellEnd"/>
            <w:r w:rsidRPr="000157B6" w:rsidR="00020CE2">
              <w:rPr>
                <w:rFonts w:asciiTheme="minorHAnsi" w:hAnsiTheme="minorHAnsi" w:cstheme="minorHAnsi"/>
                <w:szCs w:val="20"/>
              </w:rPr>
              <w:t xml:space="preserve"> à </w:t>
            </w:r>
            <w:proofErr w:type="spellStart"/>
            <w:r w:rsidRPr="000157B6" w:rsidR="00020CE2">
              <w:rPr>
                <w:rFonts w:asciiTheme="minorHAnsi" w:hAnsiTheme="minorHAnsi" w:cstheme="minorHAnsi"/>
                <w:szCs w:val="20"/>
              </w:rPr>
              <w:t>l'observance</w:t>
            </w:r>
            <w:proofErr w:type="spellEnd"/>
            <w:r w:rsidRPr="000157B6" w:rsidR="00020CE2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222C52">
              <w:rPr>
                <w:rFonts w:asciiTheme="minorHAnsi" w:hAnsiTheme="minorHAnsi" w:cstheme="minorHAnsi"/>
                <w:szCs w:val="20"/>
              </w:rPr>
              <w:t xml:space="preserve">et </w:t>
            </w:r>
            <w:proofErr w:type="spellStart"/>
            <w:r w:rsidR="00222C52">
              <w:rPr>
                <w:rFonts w:asciiTheme="minorHAnsi" w:hAnsiTheme="minorHAnsi" w:cstheme="minorHAnsi"/>
                <w:szCs w:val="20"/>
              </w:rPr>
              <w:t>générer</w:t>
            </w:r>
            <w:proofErr w:type="spellEnd"/>
            <w:r w:rsidR="00222C52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="00222C52">
              <w:rPr>
                <w:rFonts w:asciiTheme="minorHAnsi" w:hAnsiTheme="minorHAnsi" w:cstheme="minorHAnsi"/>
                <w:szCs w:val="20"/>
              </w:rPr>
              <w:t>une</w:t>
            </w:r>
            <w:proofErr w:type="spellEnd"/>
            <w:r w:rsidR="00222C52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="00222C52">
              <w:rPr>
                <w:rFonts w:asciiTheme="minorHAnsi" w:hAnsiTheme="minorHAnsi" w:cstheme="minorHAnsi"/>
                <w:szCs w:val="20"/>
              </w:rPr>
              <w:t>demande</w:t>
            </w:r>
            <w:proofErr w:type="spellEnd"/>
          </w:p>
        </w:tc>
      </w:tr>
    </w:tbl>
    <w:p w:rsidRPr="00020CE2" w:rsidR="00020CE2" w:rsidP="00370DC1" w:rsidRDefault="00020CE2" w14:paraId="74A01200" w14:textId="77777777"/>
    <w:p w:rsidRPr="00962853" w:rsidR="00BC2B0A" w:rsidP="00370DC1" w:rsidRDefault="0065730D" w14:paraId="3762E132" w14:textId="0B4C73D8">
      <w:pPr>
        <w:pStyle w:val="Heading1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proofErr w:type="spellStart"/>
      <w:r w:rsidRPr="00962853">
        <w:rPr>
          <w:rFonts w:asciiTheme="minorHAnsi" w:hAnsiTheme="minorHAnsi" w:cstheme="minorHAnsi"/>
        </w:rPr>
        <w:t>Sélection</w:t>
      </w:r>
      <w:proofErr w:type="spellEnd"/>
      <w:r w:rsidRPr="00962853">
        <w:rPr>
          <w:rFonts w:asciiTheme="minorHAnsi" w:hAnsiTheme="minorHAnsi" w:cstheme="minorHAnsi"/>
        </w:rPr>
        <w:t xml:space="preserve"> de sites pour </w:t>
      </w:r>
      <w:proofErr w:type="spellStart"/>
      <w:r w:rsidRPr="00962853">
        <w:rPr>
          <w:rFonts w:asciiTheme="minorHAnsi" w:hAnsiTheme="minorHAnsi" w:cstheme="minorHAnsi"/>
        </w:rPr>
        <w:t>l'introduction</w:t>
      </w:r>
      <w:proofErr w:type="spellEnd"/>
      <w:r w:rsidRPr="00962853">
        <w:rPr>
          <w:rFonts w:asciiTheme="minorHAnsi" w:hAnsiTheme="minorHAnsi" w:cstheme="minorHAnsi"/>
        </w:rPr>
        <w:t xml:space="preserve"> et </w:t>
      </w:r>
      <w:proofErr w:type="spellStart"/>
      <w:r w:rsidRPr="00962853">
        <w:rPr>
          <w:rFonts w:asciiTheme="minorHAnsi" w:hAnsiTheme="minorHAnsi" w:cstheme="minorHAnsi"/>
        </w:rPr>
        <w:t>l'extension</w:t>
      </w:r>
      <w:proofErr w:type="spellEnd"/>
      <w:r w:rsidRPr="00962853">
        <w:rPr>
          <w:rFonts w:asciiTheme="minorHAnsi" w:hAnsiTheme="minorHAnsi" w:cstheme="minorHAnsi"/>
        </w:rPr>
        <w:t xml:space="preserve"> du GTPD</w:t>
      </w:r>
    </w:p>
    <w:p w:rsidRPr="00962853" w:rsidR="00590771" w:rsidP="00370DC1" w:rsidRDefault="0065730D" w14:paraId="5A42CDA1" w14:textId="2F3D447A">
      <w:pPr>
        <w:jc w:val="both"/>
        <w:rPr>
          <w:rFonts w:cstheme="minorHAnsi"/>
          <w:i/>
          <w:iCs/>
        </w:rPr>
      </w:pPr>
      <w:r w:rsidRPr="00625863">
        <w:rPr>
          <w:rFonts w:cstheme="minorHAnsi"/>
          <w:i/>
          <w:iCs/>
          <w:highlight w:val="yellow"/>
        </w:rPr>
        <w:t>[</w:t>
      </w:r>
      <w:proofErr w:type="spellStart"/>
      <w:r w:rsidRPr="00625863">
        <w:rPr>
          <w:rFonts w:cstheme="minorHAnsi"/>
          <w:i/>
          <w:iCs/>
          <w:highlight w:val="yellow"/>
        </w:rPr>
        <w:t>Fournir</w:t>
      </w:r>
      <w:proofErr w:type="spellEnd"/>
      <w:r w:rsidRPr="00625863">
        <w:rPr>
          <w:rFonts w:cstheme="minorHAnsi"/>
          <w:i/>
          <w:iCs/>
          <w:highlight w:val="yellow"/>
        </w:rPr>
        <w:t xml:space="preserve"> </w:t>
      </w:r>
      <w:proofErr w:type="spellStart"/>
      <w:r w:rsidRPr="00625863">
        <w:rPr>
          <w:rFonts w:cstheme="minorHAnsi"/>
          <w:i/>
          <w:iCs/>
          <w:highlight w:val="yellow"/>
        </w:rPr>
        <w:t>une</w:t>
      </w:r>
      <w:proofErr w:type="spellEnd"/>
      <w:r w:rsidRPr="00625863">
        <w:rPr>
          <w:rFonts w:cstheme="minorHAnsi"/>
          <w:i/>
          <w:iCs/>
          <w:highlight w:val="yellow"/>
        </w:rPr>
        <w:t xml:space="preserve"> </w:t>
      </w:r>
      <w:proofErr w:type="spellStart"/>
      <w:r w:rsidRPr="00625863">
        <w:rPr>
          <w:rFonts w:cstheme="minorHAnsi"/>
          <w:i/>
          <w:iCs/>
          <w:highlight w:val="yellow"/>
        </w:rPr>
        <w:t>liste</w:t>
      </w:r>
      <w:proofErr w:type="spellEnd"/>
      <w:r w:rsidRPr="00625863">
        <w:rPr>
          <w:rFonts w:cstheme="minorHAnsi"/>
          <w:i/>
          <w:iCs/>
          <w:highlight w:val="yellow"/>
        </w:rPr>
        <w:t xml:space="preserve"> </w:t>
      </w:r>
      <w:proofErr w:type="spellStart"/>
      <w:r w:rsidRPr="00625863">
        <w:rPr>
          <w:rFonts w:cstheme="minorHAnsi"/>
          <w:i/>
          <w:iCs/>
          <w:highlight w:val="yellow"/>
        </w:rPr>
        <w:t>détaillée</w:t>
      </w:r>
      <w:proofErr w:type="spellEnd"/>
      <w:r w:rsidRPr="00625863">
        <w:rPr>
          <w:rFonts w:cstheme="minorHAnsi"/>
          <w:i/>
          <w:iCs/>
          <w:highlight w:val="yellow"/>
        </w:rPr>
        <w:t xml:space="preserve">/ des captures </w:t>
      </w:r>
      <w:proofErr w:type="spellStart"/>
      <w:r w:rsidRPr="00625863">
        <w:rPr>
          <w:rFonts w:cstheme="minorHAnsi"/>
          <w:i/>
          <w:iCs/>
          <w:highlight w:val="yellow"/>
        </w:rPr>
        <w:t>d'écran</w:t>
      </w:r>
      <w:proofErr w:type="spellEnd"/>
      <w:r w:rsidRPr="00625863">
        <w:rPr>
          <w:rFonts w:cstheme="minorHAnsi"/>
          <w:i/>
          <w:iCs/>
          <w:highlight w:val="yellow"/>
        </w:rPr>
        <w:t xml:space="preserve"> de </w:t>
      </w:r>
      <w:proofErr w:type="spellStart"/>
      <w:r w:rsidRPr="00625863">
        <w:rPr>
          <w:rFonts w:cstheme="minorHAnsi"/>
          <w:i/>
          <w:iCs/>
          <w:highlight w:val="yellow"/>
        </w:rPr>
        <w:t>toutes</w:t>
      </w:r>
      <w:proofErr w:type="spellEnd"/>
      <w:r w:rsidRPr="00625863">
        <w:rPr>
          <w:rFonts w:cstheme="minorHAnsi"/>
          <w:i/>
          <w:iCs/>
          <w:highlight w:val="yellow"/>
        </w:rPr>
        <w:t xml:space="preserve"> les installations </w:t>
      </w:r>
      <w:proofErr w:type="spellStart"/>
      <w:r w:rsidRPr="00625863">
        <w:rPr>
          <w:rFonts w:cstheme="minorHAnsi"/>
          <w:i/>
          <w:iCs/>
          <w:highlight w:val="yellow"/>
        </w:rPr>
        <w:t>où</w:t>
      </w:r>
      <w:proofErr w:type="spellEnd"/>
      <w:r w:rsidRPr="00625863">
        <w:rPr>
          <w:rFonts w:cstheme="minorHAnsi"/>
          <w:i/>
          <w:iCs/>
          <w:highlight w:val="yellow"/>
        </w:rPr>
        <w:t xml:space="preserve"> le pDTG sera </w:t>
      </w:r>
      <w:proofErr w:type="spellStart"/>
      <w:r w:rsidRPr="00625863">
        <w:rPr>
          <w:rFonts w:cstheme="minorHAnsi"/>
          <w:i/>
          <w:iCs/>
          <w:highlight w:val="yellow"/>
        </w:rPr>
        <w:t>introduit</w:t>
      </w:r>
      <w:proofErr w:type="spellEnd"/>
      <w:r w:rsidRPr="00625863">
        <w:rPr>
          <w:rFonts w:cstheme="minorHAnsi"/>
          <w:i/>
          <w:iCs/>
          <w:highlight w:val="yellow"/>
        </w:rPr>
        <w:t>]</w:t>
      </w:r>
    </w:p>
    <w:sectPr w:rsidRPr="00962853" w:rsidR="00590771">
      <w:footerReference w:type="default" r:id="rId22"/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a137bc222830451e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nitials="SK" w:author="Swati Kalra" w:date="2021-02-26T16:12:00Z" w:id="0">
    <w:p w:rsidR="00372227" w:rsidRDefault="00372227" w14:paraId="65FF5CE0" w14:textId="1D4F73A4">
      <w:pPr>
        <w:pStyle w:val="CommentText"/>
      </w:pPr>
      <w:r>
        <w:rPr>
          <w:rStyle w:val="CommentReference"/>
        </w:rPr>
        <w:annotationRef/>
      </w:r>
      <w:proofErr w:type="spellStart"/>
      <w:r>
        <w:t>Veuillez</w:t>
      </w:r>
      <w:proofErr w:type="spellEnd"/>
      <w:r>
        <w:t xml:space="preserve"> modifier tout le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surligné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jaune </w:t>
      </w:r>
    </w:p>
  </w:comment>
  <w:comment w:initials="SK" w:author="Swati Kalra" w:date="2021-02-04T17:03:00Z" w:id="1">
    <w:p w:rsidR="0043046F" w:rsidRDefault="0043046F" w14:paraId="517512B2" w14:textId="6BA09F64">
      <w:pPr>
        <w:pStyle w:val="CommentText"/>
      </w:pPr>
      <w:r>
        <w:rPr>
          <w:rStyle w:val="CommentReference"/>
        </w:rPr>
        <w:annotationRef/>
      </w:r>
      <w:proofErr w:type="spellStart"/>
      <w:r>
        <w:t>Veuillez</w:t>
      </w:r>
      <w:proofErr w:type="spellEnd"/>
      <w:r>
        <w:t xml:space="preserve"> </w:t>
      </w:r>
      <w:proofErr w:type="spellStart"/>
      <w:r>
        <w:t>insérer</w:t>
      </w:r>
      <w:proofErr w:type="spellEnd"/>
      <w:r>
        <w:t xml:space="preserve"> les logos du </w:t>
      </w:r>
      <w:proofErr w:type="spellStart"/>
      <w:r>
        <w:t>ministère</w:t>
      </w:r>
      <w:proofErr w:type="spellEnd"/>
      <w:r>
        <w:t xml:space="preserve"> de la </w:t>
      </w:r>
      <w:proofErr w:type="spellStart"/>
      <w:r>
        <w:t>santé</w:t>
      </w:r>
      <w:proofErr w:type="spellEnd"/>
      <w:r>
        <w:t xml:space="preserve"> et des </w:t>
      </w:r>
      <w:proofErr w:type="spellStart"/>
      <w:r>
        <w:t>partenaires</w:t>
      </w:r>
      <w:proofErr w:type="spellEnd"/>
      <w:r>
        <w:t xml:space="preserve">, pour </w:t>
      </w:r>
      <w:proofErr w:type="spellStart"/>
      <w:r>
        <w:t>souligner</w:t>
      </w:r>
      <w:proofErr w:type="spellEnd"/>
      <w:r>
        <w:t xml:space="preserve"> </w:t>
      </w:r>
      <w:proofErr w:type="spellStart"/>
      <w:r>
        <w:t>qu'il</w:t>
      </w:r>
      <w:proofErr w:type="spellEnd"/>
      <w:r>
        <w:t xml:space="preserve"> </w:t>
      </w:r>
      <w:proofErr w:type="spellStart"/>
      <w:r>
        <w:t>s'agit</w:t>
      </w:r>
      <w:proofErr w:type="spellEnd"/>
      <w:r>
        <w:t xml:space="preserve"> d'un plan national </w:t>
      </w:r>
      <w:proofErr w:type="spellStart"/>
      <w:r>
        <w:t>élaboré</w:t>
      </w:r>
      <w:proofErr w:type="spellEnd"/>
      <w:r>
        <w:t xml:space="preserve"> avec </w:t>
      </w:r>
      <w:proofErr w:type="spellStart"/>
      <w:r>
        <w:t>l'adhésion</w:t>
      </w:r>
      <w:proofErr w:type="spellEnd"/>
      <w:r>
        <w:t xml:space="preserve"> de </w:t>
      </w:r>
      <w:proofErr w:type="spellStart"/>
      <w:r>
        <w:t>toutes</w:t>
      </w:r>
      <w:proofErr w:type="spellEnd"/>
      <w:r>
        <w:t xml:space="preserve"> les parties </w:t>
      </w:r>
      <w:proofErr w:type="spellStart"/>
      <w:r>
        <w:t>prenantes</w:t>
      </w:r>
      <w:proofErr w:type="spellEnd"/>
      <w:r>
        <w:t xml:space="preserve"> </w:t>
      </w:r>
      <w:proofErr w:type="spellStart"/>
      <w:r>
        <w:t>clés</w:t>
      </w:r>
      <w:proofErr w:type="spellEnd"/>
      <w:r>
        <w:t xml:space="preserve"> </w:t>
      </w:r>
    </w:p>
  </w:comment>
  <w:comment w:initials="SK" w:author="Swati Kalra" w:date="2021-02-23T22:00:00Z" w:id="2">
    <w:p w:rsidR="0043046F" w:rsidRDefault="0043046F" w14:paraId="1F51CC13" w14:textId="6723492F">
      <w:pPr>
        <w:pStyle w:val="CommentText"/>
      </w:pPr>
      <w:r>
        <w:rPr>
          <w:rStyle w:val="CommentReference"/>
        </w:rPr>
        <w:annotationRef/>
      </w:r>
      <w:r w:rsidRPr="006D7D7F">
        <w:rPr>
          <w:rFonts w:cstheme="minorHAnsi"/>
          <w:sz w:val="22"/>
          <w:szCs w:val="22"/>
        </w:rPr>
        <w:t xml:space="preserve">Une </w:t>
      </w:r>
      <w:hyperlink w:history="1" r:id="rId1">
        <w:proofErr w:type="spellStart"/>
        <w:r w:rsidRPr="006D7D7F">
          <w:rPr>
            <w:rStyle w:val="Hyperlink"/>
            <w:rFonts w:cstheme="minorHAnsi"/>
            <w:sz w:val="22"/>
            <w:szCs w:val="22"/>
          </w:rPr>
          <w:t>Modèle</w:t>
        </w:r>
        <w:proofErr w:type="spellEnd"/>
        <w:r w:rsidRPr="006D7D7F">
          <w:rPr>
            <w:rStyle w:val="Hyperlink"/>
            <w:rFonts w:cstheme="minorHAnsi"/>
            <w:sz w:val="22"/>
            <w:szCs w:val="22"/>
          </w:rPr>
          <w:t xml:space="preserve"> de planification du </w:t>
        </w:r>
        <w:proofErr w:type="spellStart"/>
        <w:r w:rsidRPr="006D7D7F">
          <w:rPr>
            <w:rStyle w:val="Hyperlink"/>
            <w:rFonts w:cstheme="minorHAnsi"/>
            <w:sz w:val="22"/>
            <w:szCs w:val="22"/>
          </w:rPr>
          <w:t>déploiement</w:t>
        </w:r>
        <w:proofErr w:type="spellEnd"/>
        <w:r w:rsidRPr="006D7D7F">
          <w:rPr>
            <w:rStyle w:val="Hyperlink"/>
            <w:rFonts w:cstheme="minorHAnsi"/>
            <w:sz w:val="22"/>
            <w:szCs w:val="22"/>
          </w:rPr>
          <w:t xml:space="preserve"> d'un nouveau </w:t>
        </w:r>
        <w:proofErr w:type="spellStart"/>
        <w:r w:rsidRPr="006D7D7F">
          <w:rPr>
            <w:rStyle w:val="Hyperlink"/>
            <w:rFonts w:cstheme="minorHAnsi"/>
            <w:sz w:val="22"/>
            <w:szCs w:val="22"/>
          </w:rPr>
          <w:t>produit</w:t>
        </w:r>
        <w:proofErr w:type="spellEnd"/>
      </w:hyperlink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peut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également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être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utilisé</w:t>
      </w:r>
      <w:proofErr w:type="spellEnd"/>
      <w:r>
        <w:rPr>
          <w:rFonts w:cstheme="minorHAnsi"/>
          <w:sz w:val="22"/>
          <w:szCs w:val="22"/>
        </w:rPr>
        <w:t xml:space="preserve"> pour </w:t>
      </w:r>
      <w:proofErr w:type="spellStart"/>
      <w:r>
        <w:rPr>
          <w:rFonts w:cstheme="minorHAnsi"/>
          <w:sz w:val="22"/>
          <w:szCs w:val="22"/>
        </w:rPr>
        <w:t>établir</w:t>
      </w:r>
      <w:proofErr w:type="spellEnd"/>
      <w:r>
        <w:rPr>
          <w:rFonts w:cstheme="minorHAnsi"/>
          <w:sz w:val="22"/>
          <w:szCs w:val="22"/>
        </w:rPr>
        <w:t xml:space="preserve"> et documenter les </w:t>
      </w:r>
      <w:proofErr w:type="spellStart"/>
      <w:r>
        <w:rPr>
          <w:rFonts w:cstheme="minorHAnsi"/>
          <w:sz w:val="22"/>
          <w:szCs w:val="22"/>
        </w:rPr>
        <w:t>calendriers</w:t>
      </w:r>
      <w:proofErr w:type="spellEnd"/>
      <w:r>
        <w:rPr>
          <w:rFonts w:cstheme="minorHAnsi"/>
          <w:sz w:val="22"/>
          <w:szCs w:val="22"/>
        </w:rPr>
        <w:t xml:space="preserve"> et les </w:t>
      </w:r>
      <w:proofErr w:type="spellStart"/>
      <w:r>
        <w:rPr>
          <w:rFonts w:cstheme="minorHAnsi"/>
          <w:sz w:val="22"/>
          <w:szCs w:val="22"/>
        </w:rPr>
        <w:t>activités</w:t>
      </w:r>
      <w:proofErr w:type="spellEnd"/>
      <w:r>
        <w:rPr>
          <w:rFonts w:cstheme="minorHAnsi"/>
          <w:sz w:val="22"/>
          <w:szCs w:val="22"/>
        </w:rPr>
        <w:t xml:space="preserve">. </w:t>
      </w:r>
    </w:p>
  </w:comment>
  <w:comment w:initials="SK" w:author="Swati Kalra" w:date="2021-02-26T16:18:00Z" w:id="4">
    <w:p w:rsidR="00A62E20" w:rsidRDefault="00A62E20" w14:paraId="266D6532" w14:textId="3D4A4753">
      <w:pPr>
        <w:pStyle w:val="CommentText"/>
      </w:pPr>
      <w:r>
        <w:rPr>
          <w:rStyle w:val="CommentReference"/>
        </w:rPr>
        <w:annotationRef/>
      </w:r>
      <w:r>
        <w:t xml:space="preserve">La capture </w:t>
      </w:r>
      <w:proofErr w:type="spellStart"/>
      <w:r>
        <w:t>d'écran</w:t>
      </w:r>
      <w:proofErr w:type="spellEnd"/>
      <w:r>
        <w:t xml:space="preserve"> ci-dessous </w:t>
      </w:r>
      <w:proofErr w:type="spellStart"/>
      <w:r>
        <w:t>est</w:t>
      </w:r>
      <w:proofErr w:type="spellEnd"/>
      <w:r>
        <w:t xml:space="preserve"> un </w:t>
      </w:r>
      <w:proofErr w:type="spellStart"/>
      <w:r>
        <w:t>exemple</w:t>
      </w:r>
      <w:proofErr w:type="spellEnd"/>
      <w:r>
        <w:t xml:space="preserve"> de la manière </w:t>
      </w:r>
      <w:proofErr w:type="spellStart"/>
      <w:r>
        <w:t>dont</w:t>
      </w:r>
      <w:proofErr w:type="spellEnd"/>
      <w:r>
        <w:t xml:space="preserve"> la transition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planifiée</w:t>
      </w:r>
      <w:proofErr w:type="spellEnd"/>
      <w:r>
        <w:t xml:space="preserve"> dans le cadre </w:t>
      </w:r>
      <w:proofErr w:type="spellStart"/>
      <w:r>
        <w:t>d'une</w:t>
      </w:r>
      <w:proofErr w:type="spellEnd"/>
      <w:r>
        <w:t xml:space="preserve"> </w:t>
      </w:r>
      <w:proofErr w:type="spellStart"/>
      <w:r>
        <w:t>approche</w:t>
      </w:r>
      <w:proofErr w:type="spellEnd"/>
      <w:r>
        <w:t xml:space="preserve"> progressive ; </w:t>
      </w:r>
      <w:proofErr w:type="spellStart"/>
      <w:r>
        <w:t>une</w:t>
      </w:r>
      <w:proofErr w:type="spellEnd"/>
      <w:r>
        <w:t xml:space="preserve"> </w:t>
      </w:r>
      <w:proofErr w:type="spellStart"/>
      <w:r>
        <w:t>approche</w:t>
      </w:r>
      <w:proofErr w:type="spellEnd"/>
      <w:r>
        <w:t xml:space="preserve"> progressive </w:t>
      </w:r>
      <w:proofErr w:type="spellStart"/>
      <w:r>
        <w:t>n'est</w:t>
      </w:r>
      <w:proofErr w:type="spellEnd"/>
      <w:r>
        <w:t xml:space="preserve"> pas </w:t>
      </w:r>
      <w:proofErr w:type="spellStart"/>
      <w:r>
        <w:t>obligatoire</w:t>
      </w:r>
      <w:proofErr w:type="spellEnd"/>
      <w:r>
        <w:t xml:space="preserve"> et </w:t>
      </w:r>
      <w:proofErr w:type="spellStart"/>
      <w:r>
        <w:t>dépend</w:t>
      </w:r>
      <w:proofErr w:type="spellEnd"/>
      <w:r>
        <w:t xml:space="preserve"> du </w:t>
      </w:r>
      <w:proofErr w:type="spellStart"/>
      <w:r>
        <w:t>contexte</w:t>
      </w:r>
      <w:proofErr w:type="spellEnd"/>
      <w:r>
        <w:t xml:space="preserve"> de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paysâ</w:t>
      </w:r>
      <w:proofErr w:type="spellEnd"/>
      <w:r>
        <w:t xml:space="preserve">€™s ; un </w:t>
      </w:r>
      <w:proofErr w:type="spellStart"/>
      <w:r>
        <w:t>modèle</w:t>
      </w:r>
      <w:proofErr w:type="spellEnd"/>
      <w:r>
        <w:t xml:space="preserve"> PPT modifiable </w:t>
      </w:r>
      <w:proofErr w:type="spellStart"/>
      <w:r>
        <w:t>est</w:t>
      </w:r>
      <w:proofErr w:type="spellEnd"/>
      <w:r>
        <w:t xml:space="preserve"> joint </w:t>
      </w:r>
      <w:proofErr w:type="spellStart"/>
      <w:r>
        <w:t>en</w:t>
      </w:r>
      <w:proofErr w:type="spellEnd"/>
      <w:r>
        <w:t xml:space="preserve"> pièce </w:t>
      </w:r>
      <w:proofErr w:type="spellStart"/>
      <w:r>
        <w:t>jointe</w:t>
      </w:r>
      <w:proofErr w:type="spellEnd"/>
      <w:r>
        <w:t xml:space="preserve"> dans le </w:t>
      </w:r>
      <w:proofErr w:type="spellStart"/>
      <w:r>
        <w:t>courriel</w:t>
      </w:r>
      <w:proofErr w:type="spellEnd"/>
    </w:p>
  </w:comment>
  <w:comment w:initials="SK" w:author="Swati Kalra" w:date="2021-02-26T16:20:00Z" w:id="5">
    <w:p w:rsidR="00B017F8" w:rsidRDefault="00B017F8" w14:paraId="486C2A60" w14:textId="671D1011">
      <w:pPr>
        <w:pStyle w:val="CommentText"/>
      </w:pPr>
      <w:r>
        <w:rPr>
          <w:rStyle w:val="CommentReference"/>
        </w:rPr>
        <w:annotationRef/>
      </w:r>
      <w:proofErr w:type="spellStart"/>
      <w:r>
        <w:t>Veuillez</w:t>
      </w:r>
      <w:proofErr w:type="spellEnd"/>
      <w:r>
        <w:t xml:space="preserve"> modifier </w:t>
      </w:r>
      <w:proofErr w:type="spellStart"/>
      <w:r>
        <w:t>en</w:t>
      </w:r>
      <w:proofErr w:type="spellEnd"/>
      <w:r>
        <w:t xml:space="preserve"> </w:t>
      </w:r>
      <w:proofErr w:type="spellStart"/>
      <w:r>
        <w:t>fonction</w:t>
      </w:r>
      <w:proofErr w:type="spellEnd"/>
      <w:r>
        <w:t xml:space="preserve"> du </w:t>
      </w:r>
      <w:proofErr w:type="spellStart"/>
      <w:r>
        <w:t>contexte</w:t>
      </w:r>
      <w:proofErr w:type="spellEnd"/>
      <w:r>
        <w:t xml:space="preserve"> du pays. </w:t>
      </w:r>
    </w:p>
  </w:comment>
  <w:comment w:initials="SK" w:author="Swati Kalra" w:date="2021-02-25T12:08:00Z" w:id="6">
    <w:p w:rsidR="0043046F" w:rsidRDefault="0043046F" w14:paraId="2F53CCE0" w14:textId="4E0A3333">
      <w:pPr>
        <w:pStyle w:val="CommentText"/>
      </w:pPr>
      <w:r>
        <w:rPr>
          <w:rStyle w:val="CommentReference"/>
        </w:rPr>
        <w:annotationRef/>
      </w:r>
      <w:r>
        <w:t xml:space="preserve">Il </w:t>
      </w:r>
      <w:proofErr w:type="spellStart"/>
      <w:r>
        <w:t>s'agit</w:t>
      </w:r>
      <w:proofErr w:type="spellEnd"/>
      <w:r>
        <w:t xml:space="preserve"> d'un</w:t>
      </w:r>
      <w:r w:rsidR="00451804">
        <w:t xml:space="preserve"> </w:t>
      </w:r>
      <w:proofErr w:type="spellStart"/>
      <w:r w:rsidR="00451804">
        <w:t>exemple</w:t>
      </w:r>
      <w:proofErr w:type="spellEnd"/>
      <w:r>
        <w:t xml:space="preserve"> plan de formation ; un </w:t>
      </w:r>
      <w:proofErr w:type="spellStart"/>
      <w:r>
        <w:t>modèle</w:t>
      </w:r>
      <w:proofErr w:type="spellEnd"/>
      <w:r>
        <w:t xml:space="preserve"> PPT modifiable </w:t>
      </w:r>
      <w:proofErr w:type="spellStart"/>
      <w:r>
        <w:t>est</w:t>
      </w:r>
      <w:proofErr w:type="spellEnd"/>
      <w:r>
        <w:t xml:space="preserve"> joint au </w:t>
      </w:r>
      <w:proofErr w:type="spellStart"/>
      <w:r>
        <w:t>courriel</w:t>
      </w:r>
      <w:proofErr w:type="spellEnd"/>
    </w:p>
  </w:comment>
  <w:comment w:initials="SK" w:author="Swati Kalra" w:date="2021-02-25T12:09:00Z" w:id="7">
    <w:p w:rsidR="0043046F" w:rsidRDefault="0043046F" w14:paraId="46AF3C29" w14:textId="148389F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Th</w:t>
      </w:r>
      <w:r w:rsidR="009743BB">
        <w:t xml:space="preserve">e </w:t>
      </w:r>
      <w:proofErr w:type="spellStart"/>
      <w:r w:rsidR="009743BB">
        <w:t>liste</w:t>
      </w:r>
      <w:proofErr w:type="spellEnd"/>
      <w:r w:rsidR="009743BB">
        <w:t xml:space="preserve"> ci-dessous</w:t>
      </w:r>
      <w:r>
        <w:t xml:space="preserve"> </w:t>
      </w:r>
      <w:proofErr w:type="spellStart"/>
      <w:r w:rsidR="00B14C96">
        <w:t>contient</w:t>
      </w:r>
      <w:proofErr w:type="spellEnd"/>
      <w:r w:rsidR="00B14C96">
        <w:t xml:space="preserve"> </w:t>
      </w:r>
      <w:proofErr w:type="spellStart"/>
      <w:r w:rsidR="00B14C96">
        <w:t>quelques</w:t>
      </w:r>
      <w:proofErr w:type="spellEnd"/>
      <w:r w:rsidR="00B14C96">
        <w:t xml:space="preserve"> </w:t>
      </w:r>
      <w:proofErr w:type="spellStart"/>
      <w:r w:rsidR="00A6165C">
        <w:t>exemples</w:t>
      </w:r>
      <w:proofErr w:type="spellEnd"/>
      <w:r w:rsidR="00A6165C">
        <w:t xml:space="preserve"> de documents</w:t>
      </w:r>
      <w:r>
        <w:t xml:space="preserve">; </w:t>
      </w:r>
      <w:proofErr w:type="spellStart"/>
      <w:r>
        <w:t>éditer</w:t>
      </w:r>
      <w:proofErr w:type="spellEnd"/>
      <w:r>
        <w:t xml:space="preserve">, le </w:t>
      </w:r>
      <w:proofErr w:type="spellStart"/>
      <w:r>
        <w:t>cas</w:t>
      </w:r>
      <w:proofErr w:type="spellEnd"/>
      <w:r>
        <w:t xml:space="preserve"> </w:t>
      </w:r>
      <w:proofErr w:type="spellStart"/>
      <w:r>
        <w:t>échéant</w:t>
      </w:r>
      <w:proofErr w:type="spellEnd"/>
      <w:r>
        <w:t xml:space="preserve"> </w:t>
      </w:r>
    </w:p>
  </w:comment>
  <w:comment w:initials="SK" w:author="Swati Kalra" w:date="2021-02-25T22:00:00Z" w:id="8">
    <w:p w:rsidR="00451804" w:rsidRDefault="00451804" w14:paraId="372EB5E9" w14:textId="6145BF1C">
      <w:pPr>
        <w:pStyle w:val="CommentText"/>
      </w:pPr>
      <w:r>
        <w:rPr>
          <w:rStyle w:val="CommentReference"/>
        </w:rPr>
        <w:annotationRef/>
      </w:r>
      <w:proofErr w:type="spellStart"/>
      <w:r>
        <w:t>Ceci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un </w:t>
      </w:r>
      <w:proofErr w:type="spellStart"/>
      <w:r>
        <w:t>exemple</w:t>
      </w:r>
      <w:proofErr w:type="spellEnd"/>
      <w:r>
        <w:t xml:space="preserve"> de plan </w:t>
      </w:r>
      <w:proofErr w:type="spellStart"/>
      <w:r>
        <w:t>d'engagement</w:t>
      </w:r>
      <w:proofErr w:type="spellEnd"/>
      <w:r>
        <w:t xml:space="preserve"> </w:t>
      </w:r>
      <w:proofErr w:type="spellStart"/>
      <w:r>
        <w:t>communautaire</w:t>
      </w:r>
      <w:proofErr w:type="spellEnd"/>
      <w:r>
        <w:t xml:space="preserve"> ; un </w:t>
      </w:r>
      <w:proofErr w:type="spellStart"/>
      <w:r>
        <w:t>modèle</w:t>
      </w:r>
      <w:proofErr w:type="spellEnd"/>
      <w:r>
        <w:t xml:space="preserve"> PPT modifiable </w:t>
      </w:r>
      <w:proofErr w:type="spellStart"/>
      <w:r>
        <w:t>est</w:t>
      </w:r>
      <w:proofErr w:type="spellEnd"/>
      <w:r>
        <w:t xml:space="preserve"> joint au </w:t>
      </w:r>
      <w:proofErr w:type="spellStart"/>
      <w:r>
        <w:t>courriel</w:t>
      </w:r>
      <w:proofErr w:type="spellEnd"/>
    </w:p>
  </w:comment>
  <w:comment w:initials="SK" w:author="Swati Kalra" w:date="2021-02-23T21:39:00Z" w:id="9">
    <w:p w:rsidR="0043046F" w:rsidRDefault="0043046F" w14:paraId="465F6B15" w14:textId="2138B1C6">
      <w:pPr>
        <w:pStyle w:val="CommentText"/>
      </w:pPr>
      <w:r>
        <w:t xml:space="preserve">Les </w:t>
      </w:r>
      <w:proofErr w:type="spellStart"/>
      <w:r>
        <w:t>outils</w:t>
      </w:r>
      <w:proofErr w:type="spellEnd"/>
      <w:r>
        <w:t xml:space="preserve"> </w:t>
      </w:r>
      <w:proofErr w:type="spellStart"/>
      <w:r>
        <w:t>énumérés</w:t>
      </w:r>
      <w:proofErr w:type="spellEnd"/>
      <w:r>
        <w:t xml:space="preserve"> ci-dessous </w:t>
      </w:r>
      <w:proofErr w:type="spellStart"/>
      <w:r>
        <w:t>sont</w:t>
      </w:r>
      <w:proofErr w:type="spellEnd"/>
      <w:r>
        <w:t xml:space="preserve"> des </w:t>
      </w:r>
      <w:proofErr w:type="spellStart"/>
      <w:r>
        <w:t>exemples</w:t>
      </w:r>
      <w:proofErr w:type="spellEnd"/>
      <w:r>
        <w:t xml:space="preserve"> </w:t>
      </w:r>
      <w:proofErr w:type="spellStart"/>
      <w:r>
        <w:t>d'outils</w:t>
      </w:r>
      <w:proofErr w:type="spellEnd"/>
      <w:r>
        <w:t xml:space="preserve">. </w:t>
      </w:r>
      <w:proofErr w:type="spellStart"/>
      <w:r>
        <w:t>Veuillez</w:t>
      </w:r>
      <w:proofErr w:type="spellEnd"/>
      <w:r>
        <w:t xml:space="preserve"> adopter/adapter les </w:t>
      </w:r>
      <w:proofErr w:type="spellStart"/>
      <w:r>
        <w:t>outils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pays dispose déjà, et </w:t>
      </w:r>
      <w:r>
        <w:rPr>
          <w:rStyle w:val="CommentReference"/>
        </w:rPr>
        <w:annotationRef/>
      </w:r>
      <w:r>
        <w:t xml:space="preserve">modifier le tableau, le </w:t>
      </w:r>
      <w:proofErr w:type="spellStart"/>
      <w:r>
        <w:t>cas</w:t>
      </w:r>
      <w:proofErr w:type="spellEnd"/>
      <w:r>
        <w:t xml:space="preserve"> </w:t>
      </w:r>
      <w:proofErr w:type="spellStart"/>
      <w:r>
        <w:t>échéant</w:t>
      </w:r>
      <w:proofErr w:type="spellEnd"/>
    </w:p>
  </w:comment>
  <w:comment w:initials="SK" w:author="Swati Kalra" w:date="2021-02-23T21:44:00Z" w:id="10">
    <w:p w:rsidR="0043046F" w:rsidRDefault="0043046F" w14:paraId="16B7EF9F" w14:textId="68F5ADE0">
      <w:pPr>
        <w:pStyle w:val="CommentText"/>
      </w:pPr>
      <w:r>
        <w:rPr>
          <w:rStyle w:val="CommentReference"/>
        </w:rPr>
        <w:annotationRef/>
      </w:r>
      <w:r>
        <w:t xml:space="preserve">Modifier, le </w:t>
      </w:r>
      <w:proofErr w:type="spellStart"/>
      <w:r>
        <w:t>cas</w:t>
      </w:r>
      <w:proofErr w:type="spellEnd"/>
      <w:r>
        <w:t xml:space="preserve"> </w:t>
      </w:r>
      <w:proofErr w:type="spellStart"/>
      <w:r>
        <w:t>échéant</w:t>
      </w:r>
      <w:proofErr w:type="spellEnd"/>
    </w:p>
  </w:comment>
  <w:comment w:initials="SP" w:author="Sarah Pease" w:date="2021-04-07T17:19:39" w:id="195624016">
    <w:p w:rsidR="7B1D4F4C" w:rsidRDefault="7B1D4F4C" w14:paraId="0C6249E4" w14:textId="4A91D161">
      <w:pPr>
        <w:pStyle w:val="CommentText"/>
      </w:pPr>
      <w:r w:rsidR="7B1D4F4C">
        <w:rPr/>
        <w:t>Cette capture d'écran n'est qu'un exemple ; un modèle PPT modifiable est joint au courriel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65FF5CE0"/>
  <w15:commentEx w15:done="0" w15:paraId="517512B2"/>
  <w15:commentEx w15:done="0" w15:paraId="1F51CC13"/>
  <w15:commentEx w15:done="0" w15:paraId="266D6532"/>
  <w15:commentEx w15:done="0" w15:paraId="486C2A60"/>
  <w15:commentEx w15:done="0" w15:paraId="2F53CCE0"/>
  <w15:commentEx w15:done="0" w15:paraId="46AF3C29"/>
  <w15:commentEx w15:done="0" w15:paraId="372EB5E9"/>
  <w15:commentEx w15:done="0" w15:paraId="465F6B15"/>
  <w15:commentEx w15:done="0" w15:paraId="16B7EF9F"/>
  <w15:commentEx w15:done="0" w15:paraId="0C6249E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E39C6F" w16cex:dateUtc="2021-02-26T10:42:00Z"/>
  <w16cex:commentExtensible w16cex:durableId="23C6A75D" w16cex:dateUtc="2021-02-04T11:33:00Z"/>
  <w16cex:commentExtensible w16cex:durableId="23DFF997" w16cex:dateUtc="2021-02-23T16:30:00Z"/>
  <w16cex:commentExtensible w16cex:durableId="765A82E5" w16cex:dateUtc="2021-04-07T21:19:39.82Z"/>
  <w16cex:commentExtensible w16cex:durableId="23E39DCE" w16cex:dateUtc="2021-02-26T10:48:00Z"/>
  <w16cex:commentExtensible w16cex:durableId="23E39E3B" w16cex:dateUtc="2021-02-26T10:50:00Z"/>
  <w16cex:commentExtensible w16cex:durableId="23E211A4" w16cex:dateUtc="2021-02-25T06:38:00Z"/>
  <w16cex:commentExtensible w16cex:durableId="23E21203" w16cex:dateUtc="2021-02-25T06:39:00Z"/>
  <w16cex:commentExtensible w16cex:durableId="23E29C69" w16cex:dateUtc="2021-02-25T16:30:00Z"/>
  <w16cex:commentExtensible w16cex:durableId="23DFF48C" w16cex:dateUtc="2021-02-23T16:09:00Z"/>
  <w16cex:commentExtensible w16cex:durableId="23DFF5AF" w16cex:dateUtc="2021-02-23T16:14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5FF5CE0" w16cid:durableId="23E39C6F"/>
  <w16cid:commentId w16cid:paraId="517512B2" w16cid:durableId="23C6A75D"/>
  <w16cid:commentId w16cid:paraId="1F51CC13" w16cid:durableId="23DFF997"/>
  <w16cid:commentId w16cid:paraId="266D6532" w16cid:durableId="23E39DCE"/>
  <w16cid:commentId w16cid:paraId="486C2A60" w16cid:durableId="23E39E3B"/>
  <w16cid:commentId w16cid:paraId="2F53CCE0" w16cid:durableId="23E211A4"/>
  <w16cid:commentId w16cid:paraId="46AF3C29" w16cid:durableId="23E21203"/>
  <w16cid:commentId w16cid:paraId="372EB5E9" w16cid:durableId="23E29C69"/>
  <w16cid:commentId w16cid:paraId="465F6B15" w16cid:durableId="23DFF48C"/>
  <w16cid:commentId w16cid:paraId="16B7EF9F" w16cid:durableId="23DFF5AF"/>
  <w16cid:commentId w16cid:paraId="0C6249E4" w16cid:durableId="765A82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269C" w:rsidP="001E77C2" w:rsidRDefault="002C269C" w14:paraId="16ACDB36" w14:textId="77777777">
      <w:pPr>
        <w:spacing w:after="0" w:line="240" w:lineRule="auto"/>
      </w:pPr>
      <w:r>
        <w:separator/>
      </w:r>
    </w:p>
  </w:endnote>
  <w:endnote w:type="continuationSeparator" w:id="0">
    <w:p w:rsidR="002C269C" w:rsidP="001E77C2" w:rsidRDefault="002C269C" w14:paraId="586099C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66312691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:rsidRPr="008211E0" w:rsidR="0043046F" w:rsidRDefault="0043046F" w14:paraId="002217A7" w14:textId="7BCE7BC8">
        <w:pPr>
          <w:pStyle w:val="Footer"/>
          <w:jc w:val="right"/>
          <w:rPr>
            <w:sz w:val="16"/>
          </w:rPr>
        </w:pPr>
        <w:r w:rsidRPr="008211E0">
          <w:rPr>
            <w:sz w:val="16"/>
          </w:rPr>
          <w:fldChar w:fldCharType="begin"/>
        </w:r>
        <w:r w:rsidRPr="008211E0">
          <w:rPr>
            <w:sz w:val="16"/>
          </w:rPr>
          <w:instrText xml:space="preserve"> PAGE   \* MERGEFORMAT </w:instrText>
        </w:r>
        <w:r w:rsidRPr="008211E0">
          <w:rPr>
            <w:sz w:val="16"/>
          </w:rPr>
          <w:fldChar w:fldCharType="separate"/>
        </w:r>
        <w:r>
          <w:rPr>
            <w:noProof/>
            <w:sz w:val="16"/>
          </w:rPr>
          <w:t>8</w:t>
        </w:r>
        <w:r w:rsidRPr="008211E0">
          <w:rPr>
            <w:noProof/>
            <w:sz w:val="16"/>
          </w:rPr>
          <w:fldChar w:fldCharType="end"/>
        </w:r>
      </w:p>
    </w:sdtContent>
  </w:sdt>
  <w:p w:rsidR="0043046F" w:rsidRDefault="0043046F" w14:paraId="36F210B9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269C" w:rsidP="001E77C2" w:rsidRDefault="002C269C" w14:paraId="74906CC5" w14:textId="77777777">
      <w:pPr>
        <w:spacing w:after="0" w:line="240" w:lineRule="auto"/>
      </w:pPr>
      <w:r>
        <w:separator/>
      </w:r>
    </w:p>
  </w:footnote>
  <w:footnote w:type="continuationSeparator" w:id="0">
    <w:p w:rsidR="002C269C" w:rsidP="001E77C2" w:rsidRDefault="002C269C" w14:paraId="02C07137" w14:textId="77777777">
      <w:pPr>
        <w:spacing w:after="0" w:line="240" w:lineRule="auto"/>
      </w:pPr>
      <w:r>
        <w:continuationSeparator/>
      </w:r>
    </w:p>
  </w:footnote>
  <w:footnote w:id="1">
    <w:p w:rsidRPr="000157B6" w:rsidR="0043046F" w:rsidP="7B1D4F4C" w:rsidRDefault="0043046F" w14:paraId="3B25C02F" w14:textId="77777777">
      <w:pPr>
        <w:pStyle w:val="FootnoteText"/>
        <w:ind w:firstLine="0"/>
        <w:rPr>
          <w:rFonts w:ascii="Calibri" w:hAnsi="Calibri" w:cs="Calibri" w:asciiTheme="minorAscii" w:hAnsiTheme="minorAscii" w:cstheme="minorAscii"/>
          <w:sz w:val="18"/>
          <w:szCs w:val="18"/>
        </w:rPr>
      </w:pPr>
      <w:r w:rsidRPr="7B1D4F4C">
        <w:rPr>
          <w:rStyle w:val="FootnoteReference"/>
          <w:rFonts w:ascii="Calibri" w:hAnsi="Calibri" w:eastAsia="Calibri" w:cs="Calibri"/>
          <w:sz w:val="18"/>
          <w:szCs w:val="18"/>
        </w:rPr>
        <w:footnoteRef/>
      </w:r>
      <w:hyperlink w:history="1" r:id="R1af4947bb52249e7">
        <w:r w:rsidRPr="7B1D4F4C">
          <w:rPr>
            <w:rStyle w:val="Hyperlink"/>
            <w:rFonts w:ascii="Calibri" w:hAnsi="Calibri" w:eastAsia="Calibri" w:cs="Calibri"/>
            <w:sz w:val="18"/>
            <w:szCs w:val="18"/>
            <w:lang w:val="en-GB"/>
          </w:rPr>
          <w:t>2020 WHO July Policy Brief</w:t>
        </w:r>
      </w:hyperlink>
      <w:r w:rsidRPr="7B1D4F4C">
        <w:rPr>
          <w:rStyle w:val="Hyperlink"/>
          <w:rFonts w:ascii="Calibri" w:hAnsi="Calibri" w:eastAsia="Calibri" w:cs="Calibri"/>
          <w:sz w:val="18"/>
          <w:szCs w:val="18"/>
          <w:lang w:val="en-GB"/>
        </w:rPr>
        <w:t>.</w:t>
      </w:r>
    </w:p>
    <w:p w:rsidR="7B1D4F4C" w:rsidP="52ADC392" w:rsidRDefault="7B1D4F4C" w14:paraId="061E2426" w14:textId="53018FDD">
      <w:pPr>
        <w:pStyle w:val="Normal"/>
        <w:spacing w:after="0" w:afterAutospacing="off" w:line="240" w:lineRule="auto"/>
        <w:ind w:firstLine="0"/>
        <w:jc w:val="both"/>
      </w:pPr>
      <w:r w:rsidRPr="52ADC392" w:rsidR="52ADC392">
        <w:rPr>
          <w:rFonts w:ascii="Calibri" w:hAnsi="Calibri" w:eastAsia="Calibri" w:cs="Calibri"/>
          <w:noProof w:val="0"/>
          <w:sz w:val="18"/>
          <w:szCs w:val="18"/>
          <w:vertAlign w:val="superscript"/>
          <w:lang w:val="en-GB"/>
        </w:rPr>
        <w:t>2</w:t>
      </w:r>
      <w:r w:rsidRPr="52ADC392" w:rsidR="52ADC392">
        <w:rPr>
          <w:rFonts w:ascii="Calibri" w:hAnsi="Calibri" w:eastAsia="Calibri" w:cs="Calibri"/>
          <w:noProof w:val="0"/>
          <w:sz w:val="18"/>
          <w:szCs w:val="18"/>
          <w:lang w:val="en-GB"/>
        </w:rPr>
        <w:t xml:space="preserve"> </w:t>
      </w:r>
      <w:hyperlink r:id="R38ba994324b34090">
        <w:r w:rsidRPr="52ADC392" w:rsidR="52ADC392">
          <w:rPr>
            <w:rStyle w:val="Hyperlink"/>
            <w:rFonts w:ascii="Calibri" w:hAnsi="Calibri" w:eastAsia="Calibri" w:cs="Calibri"/>
            <w:noProof w:val="0"/>
            <w:sz w:val="18"/>
            <w:szCs w:val="18"/>
            <w:lang w:val="en-GB"/>
          </w:rPr>
          <w:t>Viatris DTG 10 mg Dispersible, noté Lettre d'approbation provisoire de la FDA américaine</w:t>
        </w:r>
      </w:hyperlink>
      <w:r w:rsidRPr="52ADC392" w:rsidR="52ADC392">
        <w:rPr>
          <w:rFonts w:ascii="Calibri" w:hAnsi="Calibri" w:eastAsia="Calibri" w:cs="Calibri"/>
          <w:noProof w:val="0"/>
          <w:color w:val="0000FF"/>
          <w:sz w:val="18"/>
          <w:szCs w:val="18"/>
          <w:u w:val="single"/>
          <w:lang w:val="en-GB"/>
        </w:rPr>
        <w:t>.</w:t>
      </w:r>
    </w:p>
    <w:p w:rsidR="52ADC392" w:rsidP="52ADC392" w:rsidRDefault="52ADC392" w14:paraId="25ADEEFD" w14:textId="40F257FC">
      <w:pPr>
        <w:pStyle w:val="FootnoteText"/>
        <w:spacing w:after="0" w:afterAutospacing="off" w:line="240" w:lineRule="auto"/>
        <w:ind w:firstLine="0"/>
      </w:pPr>
      <w:r w:rsidRPr="52ADC392" w:rsidR="52ADC392">
        <w:rPr>
          <w:rFonts w:ascii="Calibri" w:hAnsi="Calibri" w:eastAsia="Calibri" w:cs="Calibri"/>
          <w:noProof w:val="0"/>
          <w:sz w:val="18"/>
          <w:szCs w:val="18"/>
          <w:u w:val="single"/>
          <w:vertAlign w:val="superscript"/>
          <w:lang w:val="en-GB"/>
        </w:rPr>
        <w:t>3</w:t>
      </w:r>
      <w:r w:rsidRPr="52ADC392" w:rsidR="52ADC392">
        <w:rPr>
          <w:rFonts w:ascii="Calibri" w:hAnsi="Calibri" w:eastAsia="Calibri" w:cs="Calibri"/>
          <w:noProof w:val="0"/>
          <w:sz w:val="18"/>
          <w:szCs w:val="18"/>
          <w:u w:val="single"/>
          <w:lang w:val="en-GB"/>
        </w:rPr>
        <w:t xml:space="preserve"> </w:t>
      </w:r>
      <w:hyperlink r:id="Rb0badfaff6794723">
        <w:r w:rsidRPr="52ADC392" w:rsidR="52ADC392">
          <w:rPr>
            <w:rStyle w:val="Hyperlink"/>
            <w:rFonts w:ascii="Calibri" w:hAnsi="Calibri" w:eastAsia="Calibri" w:cs="Calibri"/>
            <w:noProof w:val="0"/>
            <w:sz w:val="18"/>
            <w:szCs w:val="18"/>
            <w:lang w:val="en-GB"/>
          </w:rPr>
          <w:t>Macleods DTG 10 mg Dispersible, noté Lettre d'approbation provisoire de la FDA américaine</w:t>
        </w:r>
      </w:hyperlink>
      <w:r w:rsidRPr="52ADC392" w:rsidR="52ADC392">
        <w:rPr>
          <w:rFonts w:ascii="Calibri" w:hAnsi="Calibri" w:eastAsia="Calibri" w:cs="Calibri"/>
          <w:noProof w:val="0"/>
          <w:color w:val="0000FF"/>
          <w:sz w:val="18"/>
          <w:szCs w:val="18"/>
          <w:u w:val="single"/>
          <w:lang w:val="en-GB"/>
        </w:rPr>
        <w:t>.</w:t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13E522A" w:rsidTr="013E522A" w14:paraId="366EF4DA">
      <w:tc>
        <w:tcPr>
          <w:tcW w:w="3120" w:type="dxa"/>
          <w:tcMar/>
        </w:tcPr>
        <w:p w:rsidR="013E522A" w:rsidP="013E522A" w:rsidRDefault="013E522A" w14:paraId="0244C666" w14:textId="04D38762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013E522A" w:rsidP="013E522A" w:rsidRDefault="013E522A" w14:paraId="65A09C3D" w14:textId="735574D2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13E522A" w:rsidP="013E522A" w:rsidRDefault="013E522A" w14:paraId="3146B7CF" w14:textId="7EE23B2D">
          <w:pPr>
            <w:pStyle w:val="Header"/>
            <w:bidi w:val="0"/>
            <w:ind w:right="-115"/>
            <w:jc w:val="right"/>
          </w:pPr>
        </w:p>
      </w:tc>
    </w:tr>
  </w:tbl>
  <w:p w:rsidR="013E522A" w:rsidP="013E522A" w:rsidRDefault="013E522A" w14:paraId="6DC63928" w14:textId="0804D2C6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445D1"/>
    <w:multiLevelType w:val="hybridMultilevel"/>
    <w:tmpl w:val="1CC895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1D04D6"/>
    <w:multiLevelType w:val="multilevel"/>
    <w:tmpl w:val="8C3C3A8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83F34"/>
    <w:multiLevelType w:val="multilevel"/>
    <w:tmpl w:val="C604222C"/>
    <w:lvl w:ilvl="0" w:tplc="98E65DD4">
      <w:start w:val="1"/>
      <w:numFmt w:val="lowerRoman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262AD"/>
    <w:multiLevelType w:val="hybridMultilevel"/>
    <w:tmpl w:val="C7E8AF24"/>
    <w:lvl w:ilvl="0" w:tplc="493E6182">
      <w:start w:val="2"/>
      <w:numFmt w:val="decimal"/>
      <w:lvlText w:val="%1.1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BF6318"/>
    <w:multiLevelType w:val="hybridMultilevel"/>
    <w:tmpl w:val="92CE930C"/>
    <w:lvl w:ilvl="0" w:tplc="1A16FF96">
      <w:start w:val="1"/>
      <w:numFmt w:val="decimal"/>
      <w:lvlText w:val="%1.1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336"/>
    <w:multiLevelType w:val="hybridMultilevel"/>
    <w:tmpl w:val="FADC706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0CF42C5F"/>
    <w:multiLevelType w:val="hybridMultilevel"/>
    <w:tmpl w:val="D368D3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 w:asciiTheme="minorHAnsi" w:hAnsiTheme="minorHAnsi" w:cstheme="minorHAnsi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DEF46A4"/>
    <w:multiLevelType w:val="hybridMultilevel"/>
    <w:tmpl w:val="A288E9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E441CC"/>
    <w:multiLevelType w:val="hybridMultilevel"/>
    <w:tmpl w:val="E17A82C0"/>
    <w:lvl w:ilvl="0" w:tplc="8D242D3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Times" w:hAnsi="Tim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4301EBE"/>
    <w:multiLevelType w:val="multilevel"/>
    <w:tmpl w:val="38706D6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46E66CE"/>
    <w:multiLevelType w:val="hybridMultilevel"/>
    <w:tmpl w:val="8A7ADF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F5100"/>
    <w:multiLevelType w:val="hybridMultilevel"/>
    <w:tmpl w:val="4832FBB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15673584"/>
    <w:multiLevelType w:val="hybridMultilevel"/>
    <w:tmpl w:val="A288E9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F70E92"/>
    <w:multiLevelType w:val="hybridMultilevel"/>
    <w:tmpl w:val="442CC860"/>
    <w:lvl w:ilvl="0" w:tplc="1A16FF96">
      <w:start w:val="1"/>
      <w:numFmt w:val="decimal"/>
      <w:lvlText w:val="%1.1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22768"/>
    <w:multiLevelType w:val="hybridMultilevel"/>
    <w:tmpl w:val="FC2CCC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A5F31A7"/>
    <w:multiLevelType w:val="hybridMultilevel"/>
    <w:tmpl w:val="A288E9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0AD06B5"/>
    <w:multiLevelType w:val="hybridMultilevel"/>
    <w:tmpl w:val="A288E9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44B6182"/>
    <w:multiLevelType w:val="multilevel"/>
    <w:tmpl w:val="522CC176"/>
    <w:lvl w:ilvl="0" w:tplc="4D620B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B4A84"/>
    <w:multiLevelType w:val="hybridMultilevel"/>
    <w:tmpl w:val="E10AB8D4"/>
    <w:lvl w:ilvl="0" w:tplc="4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FAE41DF"/>
    <w:multiLevelType w:val="multilevel"/>
    <w:tmpl w:val="A288E9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375164D"/>
    <w:multiLevelType w:val="hybridMultilevel"/>
    <w:tmpl w:val="7E20FFD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8D72A05"/>
    <w:multiLevelType w:val="multilevel"/>
    <w:tmpl w:val="8F4CC0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C896AC9"/>
    <w:multiLevelType w:val="hybridMultilevel"/>
    <w:tmpl w:val="DE3C55B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812AE"/>
    <w:multiLevelType w:val="multilevel"/>
    <w:tmpl w:val="A1747A82"/>
    <w:lvl w:ilvl="0" w:tplc="53F696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2AE87AD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B83E97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CFC08C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55BED7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486CB7E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948098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304069C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46E8914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E7E761F"/>
    <w:multiLevelType w:val="hybridMultilevel"/>
    <w:tmpl w:val="29E8367C"/>
    <w:lvl w:ilvl="0" w:tplc="40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514D2CA5"/>
    <w:multiLevelType w:val="hybridMultilevel"/>
    <w:tmpl w:val="034E1B5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5509789C"/>
    <w:multiLevelType w:val="hybridMultilevel"/>
    <w:tmpl w:val="92C8A694"/>
    <w:lvl w:ilvl="0" w:tplc="8D242D3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Times" w:hAnsi="Tim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A0D0E"/>
    <w:multiLevelType w:val="hybridMultilevel"/>
    <w:tmpl w:val="A288E9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D625383"/>
    <w:multiLevelType w:val="hybridMultilevel"/>
    <w:tmpl w:val="413E646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5DE97845"/>
    <w:multiLevelType w:val="multilevel"/>
    <w:tmpl w:val="91A4D4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42D14"/>
    <w:multiLevelType w:val="hybridMultilevel"/>
    <w:tmpl w:val="CE029E1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EA1DE5"/>
    <w:multiLevelType w:val="hybridMultilevel"/>
    <w:tmpl w:val="CE029E1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0F0BD9"/>
    <w:multiLevelType w:val="hybridMultilevel"/>
    <w:tmpl w:val="52448D98"/>
    <w:lvl w:ilvl="0" w:tplc="4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8752FCA"/>
    <w:multiLevelType w:val="hybridMultilevel"/>
    <w:tmpl w:val="F5CAEA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7C05C4"/>
    <w:multiLevelType w:val="hybridMultilevel"/>
    <w:tmpl w:val="9A9CC99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 w15:restartNumberingAfterBreak="0">
    <w:nsid w:val="69FA71E2"/>
    <w:multiLevelType w:val="hybridMultilevel"/>
    <w:tmpl w:val="5D54D34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AB90181"/>
    <w:multiLevelType w:val="hybridMultilevel"/>
    <w:tmpl w:val="B2C4AB68"/>
    <w:lvl w:ilvl="0" w:tplc="04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hint="default" w:ascii="Wingdings" w:hAnsi="Wingdings"/>
      </w:rPr>
    </w:lvl>
  </w:abstractNum>
  <w:abstractNum w:abstractNumId="37" w15:restartNumberingAfterBreak="0">
    <w:nsid w:val="6B8929D8"/>
    <w:multiLevelType w:val="hybridMultilevel"/>
    <w:tmpl w:val="199E00C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3BF2CCD"/>
    <w:multiLevelType w:val="hybridMultilevel"/>
    <w:tmpl w:val="CE3425E0"/>
    <w:lvl w:ilvl="0" w:tplc="8D242D3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Times" w:hAnsi="Times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4813E87"/>
    <w:multiLevelType w:val="hybridMultilevel"/>
    <w:tmpl w:val="1108D7B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0"/>
  </w:num>
  <w:num w:numId="4">
    <w:abstractNumId w:val="39"/>
  </w:num>
  <w:num w:numId="5">
    <w:abstractNumId w:val="28"/>
  </w:num>
  <w:num w:numId="6">
    <w:abstractNumId w:val="34"/>
  </w:num>
  <w:num w:numId="7">
    <w:abstractNumId w:val="23"/>
  </w:num>
  <w:num w:numId="8">
    <w:abstractNumId w:val="8"/>
  </w:num>
  <w:num w:numId="9">
    <w:abstractNumId w:val="38"/>
  </w:num>
  <w:num w:numId="10">
    <w:abstractNumId w:val="26"/>
  </w:num>
  <w:num w:numId="11">
    <w:abstractNumId w:val="11"/>
  </w:num>
  <w:num w:numId="12">
    <w:abstractNumId w:val="20"/>
  </w:num>
  <w:num w:numId="13">
    <w:abstractNumId w:val="17"/>
  </w:num>
  <w:num w:numId="14">
    <w:abstractNumId w:val="14"/>
  </w:num>
  <w:num w:numId="15">
    <w:abstractNumId w:val="25"/>
  </w:num>
  <w:num w:numId="16">
    <w:abstractNumId w:val="9"/>
  </w:num>
  <w:num w:numId="17">
    <w:abstractNumId w:val="37"/>
  </w:num>
  <w:num w:numId="18">
    <w:abstractNumId w:val="35"/>
  </w:num>
  <w:num w:numId="19">
    <w:abstractNumId w:val="33"/>
  </w:num>
  <w:num w:numId="20">
    <w:abstractNumId w:val="18"/>
  </w:num>
  <w:num w:numId="21">
    <w:abstractNumId w:val="30"/>
  </w:num>
  <w:num w:numId="22">
    <w:abstractNumId w:val="31"/>
  </w:num>
  <w:num w:numId="23">
    <w:abstractNumId w:val="6"/>
  </w:num>
  <w:num w:numId="24">
    <w:abstractNumId w:val="4"/>
  </w:num>
  <w:num w:numId="25">
    <w:abstractNumId w:val="3"/>
  </w:num>
  <w:num w:numId="26">
    <w:abstractNumId w:val="13"/>
  </w:num>
  <w:num w:numId="27">
    <w:abstractNumId w:val="19"/>
  </w:num>
  <w:num w:numId="28">
    <w:abstractNumId w:val="12"/>
  </w:num>
  <w:num w:numId="29">
    <w:abstractNumId w:val="27"/>
  </w:num>
  <w:num w:numId="30">
    <w:abstractNumId w:val="7"/>
  </w:num>
  <w:num w:numId="31">
    <w:abstractNumId w:val="15"/>
  </w:num>
  <w:num w:numId="32">
    <w:abstractNumId w:val="16"/>
  </w:num>
  <w:num w:numId="33">
    <w:abstractNumId w:val="21"/>
  </w:num>
  <w:num w:numId="34">
    <w:abstractNumId w:val="32"/>
  </w:num>
  <w:num w:numId="35">
    <w:abstractNumId w:val="24"/>
  </w:num>
  <w:num w:numId="36">
    <w:abstractNumId w:val="29"/>
  </w:num>
  <w:num w:numId="37">
    <w:abstractNumId w:val="22"/>
  </w:num>
  <w:num w:numId="38">
    <w:abstractNumId w:val="5"/>
  </w:num>
  <w:num w:numId="39">
    <w:abstractNumId w:val="1"/>
  </w:num>
  <w:num w:numId="40">
    <w:abstractNumId w:val="1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Swati Kalra">
    <w15:presenceInfo w15:providerId="None" w15:userId="Swati Kalra"/>
  </w15:person>
  <w15:person w15:author="Sarah Pease">
    <w15:presenceInfo w15:providerId="" w15:userId="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90"/>
  <w:activeWritingStyle w:lang="en-US" w:vendorID="64" w:dllVersion="0" w:nlCheck="1" w:checkStyle="1" w:appName="MSWord"/>
  <w:activeWritingStyle w:lang="en-US" w:vendorID="64" w:dllVersion="6" w:nlCheck="1" w:checkStyle="0" w:appName="MSWord"/>
  <w:activeWritingStyle w:lang="en-GB" w:vendorID="64" w:dllVersion="0" w:nlCheck="1" w:checkStyle="0" w:appName="MSWord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336"/>
    <w:rsid w:val="0000152C"/>
    <w:rsid w:val="00005183"/>
    <w:rsid w:val="00010F8B"/>
    <w:rsid w:val="000157B6"/>
    <w:rsid w:val="00020CE2"/>
    <w:rsid w:val="00024D37"/>
    <w:rsid w:val="00027A16"/>
    <w:rsid w:val="00035AD4"/>
    <w:rsid w:val="000410BB"/>
    <w:rsid w:val="00041475"/>
    <w:rsid w:val="00044D20"/>
    <w:rsid w:val="000545B2"/>
    <w:rsid w:val="00057C43"/>
    <w:rsid w:val="00080359"/>
    <w:rsid w:val="00090555"/>
    <w:rsid w:val="000A491A"/>
    <w:rsid w:val="000B6075"/>
    <w:rsid w:val="000B6B8D"/>
    <w:rsid w:val="000C39B4"/>
    <w:rsid w:val="000C583B"/>
    <w:rsid w:val="000C64D1"/>
    <w:rsid w:val="000D1425"/>
    <w:rsid w:val="000D41E2"/>
    <w:rsid w:val="000D5293"/>
    <w:rsid w:val="000D54EF"/>
    <w:rsid w:val="000D65E6"/>
    <w:rsid w:val="000E3779"/>
    <w:rsid w:val="000E56FF"/>
    <w:rsid w:val="000E624C"/>
    <w:rsid w:val="000E6F7E"/>
    <w:rsid w:val="000F01B6"/>
    <w:rsid w:val="000F256B"/>
    <w:rsid w:val="000F6173"/>
    <w:rsid w:val="000F6517"/>
    <w:rsid w:val="00120BCD"/>
    <w:rsid w:val="001254D5"/>
    <w:rsid w:val="00131635"/>
    <w:rsid w:val="0014602A"/>
    <w:rsid w:val="00150334"/>
    <w:rsid w:val="0015050B"/>
    <w:rsid w:val="00151FEE"/>
    <w:rsid w:val="00156AF9"/>
    <w:rsid w:val="00164074"/>
    <w:rsid w:val="0016437C"/>
    <w:rsid w:val="00166976"/>
    <w:rsid w:val="001700B2"/>
    <w:rsid w:val="00193F00"/>
    <w:rsid w:val="0019572A"/>
    <w:rsid w:val="00197B1C"/>
    <w:rsid w:val="001A66F0"/>
    <w:rsid w:val="001B2DE3"/>
    <w:rsid w:val="001B3036"/>
    <w:rsid w:val="001C0AD9"/>
    <w:rsid w:val="001C3491"/>
    <w:rsid w:val="001C4B9C"/>
    <w:rsid w:val="001C7C4C"/>
    <w:rsid w:val="001D00CA"/>
    <w:rsid w:val="001E77C2"/>
    <w:rsid w:val="00207BFC"/>
    <w:rsid w:val="00213C32"/>
    <w:rsid w:val="002141E7"/>
    <w:rsid w:val="002162B7"/>
    <w:rsid w:val="00216EAF"/>
    <w:rsid w:val="00221B8F"/>
    <w:rsid w:val="00222C52"/>
    <w:rsid w:val="002276C2"/>
    <w:rsid w:val="00234058"/>
    <w:rsid w:val="002342CF"/>
    <w:rsid w:val="002344DA"/>
    <w:rsid w:val="00237787"/>
    <w:rsid w:val="00242AAB"/>
    <w:rsid w:val="00243E9B"/>
    <w:rsid w:val="00257E7E"/>
    <w:rsid w:val="00262053"/>
    <w:rsid w:val="0027075E"/>
    <w:rsid w:val="00273FCE"/>
    <w:rsid w:val="00275EBA"/>
    <w:rsid w:val="00281E58"/>
    <w:rsid w:val="002876AE"/>
    <w:rsid w:val="002A02B4"/>
    <w:rsid w:val="002A0A16"/>
    <w:rsid w:val="002B7919"/>
    <w:rsid w:val="002C269C"/>
    <w:rsid w:val="002D6A8B"/>
    <w:rsid w:val="002E54A0"/>
    <w:rsid w:val="002E63C3"/>
    <w:rsid w:val="002E7A75"/>
    <w:rsid w:val="002F5508"/>
    <w:rsid w:val="002F6746"/>
    <w:rsid w:val="002F74FC"/>
    <w:rsid w:val="00301396"/>
    <w:rsid w:val="00304D07"/>
    <w:rsid w:val="00306399"/>
    <w:rsid w:val="00310344"/>
    <w:rsid w:val="00311F1D"/>
    <w:rsid w:val="00312208"/>
    <w:rsid w:val="00315D4D"/>
    <w:rsid w:val="00322CB3"/>
    <w:rsid w:val="00323CA6"/>
    <w:rsid w:val="00334907"/>
    <w:rsid w:val="003362F0"/>
    <w:rsid w:val="00337480"/>
    <w:rsid w:val="00341716"/>
    <w:rsid w:val="00344C6F"/>
    <w:rsid w:val="00353858"/>
    <w:rsid w:val="0035446F"/>
    <w:rsid w:val="003568BC"/>
    <w:rsid w:val="00357548"/>
    <w:rsid w:val="003610AC"/>
    <w:rsid w:val="003614F9"/>
    <w:rsid w:val="00370DC1"/>
    <w:rsid w:val="00372227"/>
    <w:rsid w:val="0037513C"/>
    <w:rsid w:val="00375589"/>
    <w:rsid w:val="0038384C"/>
    <w:rsid w:val="00384C8D"/>
    <w:rsid w:val="00392EEC"/>
    <w:rsid w:val="003A046D"/>
    <w:rsid w:val="003A39FC"/>
    <w:rsid w:val="003B4754"/>
    <w:rsid w:val="003B5475"/>
    <w:rsid w:val="003C09E6"/>
    <w:rsid w:val="003D0A76"/>
    <w:rsid w:val="003D2469"/>
    <w:rsid w:val="004134C4"/>
    <w:rsid w:val="0042470B"/>
    <w:rsid w:val="0043046F"/>
    <w:rsid w:val="00432536"/>
    <w:rsid w:val="004436C0"/>
    <w:rsid w:val="00446011"/>
    <w:rsid w:val="00450BFA"/>
    <w:rsid w:val="00451804"/>
    <w:rsid w:val="004534D0"/>
    <w:rsid w:val="00460625"/>
    <w:rsid w:val="00462B64"/>
    <w:rsid w:val="00463323"/>
    <w:rsid w:val="004653BD"/>
    <w:rsid w:val="00487F98"/>
    <w:rsid w:val="00496B4C"/>
    <w:rsid w:val="00497D08"/>
    <w:rsid w:val="004A661F"/>
    <w:rsid w:val="004B274E"/>
    <w:rsid w:val="004C1901"/>
    <w:rsid w:val="004C68C9"/>
    <w:rsid w:val="004C7E19"/>
    <w:rsid w:val="004D029A"/>
    <w:rsid w:val="004D17F6"/>
    <w:rsid w:val="004D7B65"/>
    <w:rsid w:val="004E4329"/>
    <w:rsid w:val="004F0209"/>
    <w:rsid w:val="00503937"/>
    <w:rsid w:val="00507293"/>
    <w:rsid w:val="00520699"/>
    <w:rsid w:val="00524ECA"/>
    <w:rsid w:val="005363D8"/>
    <w:rsid w:val="005405AB"/>
    <w:rsid w:val="005405B8"/>
    <w:rsid w:val="0054307D"/>
    <w:rsid w:val="005519CF"/>
    <w:rsid w:val="005547F3"/>
    <w:rsid w:val="00566DD3"/>
    <w:rsid w:val="00576DFE"/>
    <w:rsid w:val="00577A85"/>
    <w:rsid w:val="00581108"/>
    <w:rsid w:val="00582770"/>
    <w:rsid w:val="00582F84"/>
    <w:rsid w:val="00590771"/>
    <w:rsid w:val="005967DF"/>
    <w:rsid w:val="005A2886"/>
    <w:rsid w:val="005A2D52"/>
    <w:rsid w:val="005A3BDE"/>
    <w:rsid w:val="005A5C71"/>
    <w:rsid w:val="005B4B29"/>
    <w:rsid w:val="005B526B"/>
    <w:rsid w:val="005B56CA"/>
    <w:rsid w:val="005B71B1"/>
    <w:rsid w:val="005D0FFC"/>
    <w:rsid w:val="005D6089"/>
    <w:rsid w:val="005E08D6"/>
    <w:rsid w:val="005E6796"/>
    <w:rsid w:val="005F29AA"/>
    <w:rsid w:val="00605E11"/>
    <w:rsid w:val="00607F4B"/>
    <w:rsid w:val="00611981"/>
    <w:rsid w:val="00615A48"/>
    <w:rsid w:val="006237B3"/>
    <w:rsid w:val="00624CE1"/>
    <w:rsid w:val="00625863"/>
    <w:rsid w:val="0063087C"/>
    <w:rsid w:val="00631395"/>
    <w:rsid w:val="00646740"/>
    <w:rsid w:val="00647FBF"/>
    <w:rsid w:val="0065130E"/>
    <w:rsid w:val="0065692A"/>
    <w:rsid w:val="0065730D"/>
    <w:rsid w:val="00661EE4"/>
    <w:rsid w:val="0066317A"/>
    <w:rsid w:val="00664207"/>
    <w:rsid w:val="00680126"/>
    <w:rsid w:val="00680AEB"/>
    <w:rsid w:val="006819B5"/>
    <w:rsid w:val="00683A9C"/>
    <w:rsid w:val="006849A5"/>
    <w:rsid w:val="0068656C"/>
    <w:rsid w:val="0069287D"/>
    <w:rsid w:val="00693363"/>
    <w:rsid w:val="006A5DDB"/>
    <w:rsid w:val="006B28CD"/>
    <w:rsid w:val="006C2D88"/>
    <w:rsid w:val="006D7D7F"/>
    <w:rsid w:val="006E7E89"/>
    <w:rsid w:val="00701BCC"/>
    <w:rsid w:val="0070220A"/>
    <w:rsid w:val="00707791"/>
    <w:rsid w:val="00720AE7"/>
    <w:rsid w:val="007371AE"/>
    <w:rsid w:val="00741599"/>
    <w:rsid w:val="007417B9"/>
    <w:rsid w:val="00743964"/>
    <w:rsid w:val="00764E88"/>
    <w:rsid w:val="00770394"/>
    <w:rsid w:val="007757F7"/>
    <w:rsid w:val="007820F1"/>
    <w:rsid w:val="00782A1B"/>
    <w:rsid w:val="0078468E"/>
    <w:rsid w:val="007954D8"/>
    <w:rsid w:val="00797877"/>
    <w:rsid w:val="007A196E"/>
    <w:rsid w:val="007A556D"/>
    <w:rsid w:val="007A7F4F"/>
    <w:rsid w:val="007B070C"/>
    <w:rsid w:val="007B23EA"/>
    <w:rsid w:val="007B5A24"/>
    <w:rsid w:val="007D0E8F"/>
    <w:rsid w:val="007D5543"/>
    <w:rsid w:val="007E3184"/>
    <w:rsid w:val="007F5C54"/>
    <w:rsid w:val="00800431"/>
    <w:rsid w:val="0080209B"/>
    <w:rsid w:val="00810ADA"/>
    <w:rsid w:val="00813090"/>
    <w:rsid w:val="00815B11"/>
    <w:rsid w:val="008211E0"/>
    <w:rsid w:val="008223ED"/>
    <w:rsid w:val="00834629"/>
    <w:rsid w:val="00835B9C"/>
    <w:rsid w:val="00836B64"/>
    <w:rsid w:val="0084062F"/>
    <w:rsid w:val="00844DFA"/>
    <w:rsid w:val="00852353"/>
    <w:rsid w:val="00874B50"/>
    <w:rsid w:val="008815E6"/>
    <w:rsid w:val="00887D81"/>
    <w:rsid w:val="008944BD"/>
    <w:rsid w:val="008B5F92"/>
    <w:rsid w:val="008C59C7"/>
    <w:rsid w:val="008E048A"/>
    <w:rsid w:val="008E08B3"/>
    <w:rsid w:val="008E3179"/>
    <w:rsid w:val="009065EE"/>
    <w:rsid w:val="009128B9"/>
    <w:rsid w:val="009323E0"/>
    <w:rsid w:val="009411D6"/>
    <w:rsid w:val="0094407D"/>
    <w:rsid w:val="00962853"/>
    <w:rsid w:val="00963E03"/>
    <w:rsid w:val="00972673"/>
    <w:rsid w:val="009743BB"/>
    <w:rsid w:val="00980F9E"/>
    <w:rsid w:val="00981128"/>
    <w:rsid w:val="0098117C"/>
    <w:rsid w:val="009858DA"/>
    <w:rsid w:val="00986EE6"/>
    <w:rsid w:val="00990C49"/>
    <w:rsid w:val="009A00B4"/>
    <w:rsid w:val="009A368E"/>
    <w:rsid w:val="009A4BED"/>
    <w:rsid w:val="009B0E41"/>
    <w:rsid w:val="009B4336"/>
    <w:rsid w:val="009C25C5"/>
    <w:rsid w:val="009D6883"/>
    <w:rsid w:val="009E0F22"/>
    <w:rsid w:val="009E4030"/>
    <w:rsid w:val="009F5C8A"/>
    <w:rsid w:val="00A01699"/>
    <w:rsid w:val="00A0376C"/>
    <w:rsid w:val="00A25F7F"/>
    <w:rsid w:val="00A26F16"/>
    <w:rsid w:val="00A32A62"/>
    <w:rsid w:val="00A346E7"/>
    <w:rsid w:val="00A3530F"/>
    <w:rsid w:val="00A6165C"/>
    <w:rsid w:val="00A62E20"/>
    <w:rsid w:val="00A723C2"/>
    <w:rsid w:val="00A735C3"/>
    <w:rsid w:val="00A7455C"/>
    <w:rsid w:val="00A75FFE"/>
    <w:rsid w:val="00A76E58"/>
    <w:rsid w:val="00A97DB5"/>
    <w:rsid w:val="00AA102F"/>
    <w:rsid w:val="00AA25FF"/>
    <w:rsid w:val="00AA3C3A"/>
    <w:rsid w:val="00AB0085"/>
    <w:rsid w:val="00AB43BC"/>
    <w:rsid w:val="00AB7288"/>
    <w:rsid w:val="00AE261C"/>
    <w:rsid w:val="00AE5000"/>
    <w:rsid w:val="00AE70D5"/>
    <w:rsid w:val="00AF1222"/>
    <w:rsid w:val="00AF3E0F"/>
    <w:rsid w:val="00AF7683"/>
    <w:rsid w:val="00B017F8"/>
    <w:rsid w:val="00B04E31"/>
    <w:rsid w:val="00B06F9B"/>
    <w:rsid w:val="00B10DD5"/>
    <w:rsid w:val="00B14C96"/>
    <w:rsid w:val="00B16D03"/>
    <w:rsid w:val="00B217DD"/>
    <w:rsid w:val="00B31DB1"/>
    <w:rsid w:val="00B34C75"/>
    <w:rsid w:val="00B419AF"/>
    <w:rsid w:val="00B436FA"/>
    <w:rsid w:val="00B5211C"/>
    <w:rsid w:val="00B84955"/>
    <w:rsid w:val="00B8606F"/>
    <w:rsid w:val="00B86F75"/>
    <w:rsid w:val="00B91AFA"/>
    <w:rsid w:val="00BA102C"/>
    <w:rsid w:val="00BA1348"/>
    <w:rsid w:val="00BA59BB"/>
    <w:rsid w:val="00BB3195"/>
    <w:rsid w:val="00BB3487"/>
    <w:rsid w:val="00BC1DB5"/>
    <w:rsid w:val="00BC2B0A"/>
    <w:rsid w:val="00BC5821"/>
    <w:rsid w:val="00BD11A9"/>
    <w:rsid w:val="00BD57E0"/>
    <w:rsid w:val="00BE1EB9"/>
    <w:rsid w:val="00BE2381"/>
    <w:rsid w:val="00BF28C7"/>
    <w:rsid w:val="00C0746C"/>
    <w:rsid w:val="00C177B8"/>
    <w:rsid w:val="00C22362"/>
    <w:rsid w:val="00C22B98"/>
    <w:rsid w:val="00C22FDC"/>
    <w:rsid w:val="00C23D55"/>
    <w:rsid w:val="00C25755"/>
    <w:rsid w:val="00C2587A"/>
    <w:rsid w:val="00C27463"/>
    <w:rsid w:val="00C276F5"/>
    <w:rsid w:val="00C302D3"/>
    <w:rsid w:val="00C44DB3"/>
    <w:rsid w:val="00C502FA"/>
    <w:rsid w:val="00C60CEC"/>
    <w:rsid w:val="00C63B9F"/>
    <w:rsid w:val="00C63F66"/>
    <w:rsid w:val="00C64A28"/>
    <w:rsid w:val="00C65D7E"/>
    <w:rsid w:val="00C67961"/>
    <w:rsid w:val="00C738E0"/>
    <w:rsid w:val="00C7575C"/>
    <w:rsid w:val="00C832A5"/>
    <w:rsid w:val="00C86300"/>
    <w:rsid w:val="00C8751D"/>
    <w:rsid w:val="00C9246E"/>
    <w:rsid w:val="00CA35B3"/>
    <w:rsid w:val="00CB1F61"/>
    <w:rsid w:val="00CC58F9"/>
    <w:rsid w:val="00CD3537"/>
    <w:rsid w:val="00CE74EF"/>
    <w:rsid w:val="00CF3E1A"/>
    <w:rsid w:val="00CF5BB1"/>
    <w:rsid w:val="00CF7750"/>
    <w:rsid w:val="00D05458"/>
    <w:rsid w:val="00D07E5C"/>
    <w:rsid w:val="00D113B7"/>
    <w:rsid w:val="00D44A0B"/>
    <w:rsid w:val="00D46F25"/>
    <w:rsid w:val="00D51EAD"/>
    <w:rsid w:val="00D53FBA"/>
    <w:rsid w:val="00D54C0B"/>
    <w:rsid w:val="00D566E8"/>
    <w:rsid w:val="00D6643D"/>
    <w:rsid w:val="00D7704F"/>
    <w:rsid w:val="00D7705A"/>
    <w:rsid w:val="00D80ED9"/>
    <w:rsid w:val="00D84FBA"/>
    <w:rsid w:val="00D87D8C"/>
    <w:rsid w:val="00D957AC"/>
    <w:rsid w:val="00D9629B"/>
    <w:rsid w:val="00D972CE"/>
    <w:rsid w:val="00DB0313"/>
    <w:rsid w:val="00DB2C5E"/>
    <w:rsid w:val="00DB6144"/>
    <w:rsid w:val="00DB6174"/>
    <w:rsid w:val="00DC1DC7"/>
    <w:rsid w:val="00DC7FB9"/>
    <w:rsid w:val="00DD37A1"/>
    <w:rsid w:val="00DD4C61"/>
    <w:rsid w:val="00DD5D2B"/>
    <w:rsid w:val="00DE25D5"/>
    <w:rsid w:val="00DE442E"/>
    <w:rsid w:val="00DE4C63"/>
    <w:rsid w:val="00DF0ACC"/>
    <w:rsid w:val="00E060A7"/>
    <w:rsid w:val="00E0681A"/>
    <w:rsid w:val="00E137D6"/>
    <w:rsid w:val="00E13A52"/>
    <w:rsid w:val="00E21A44"/>
    <w:rsid w:val="00E22642"/>
    <w:rsid w:val="00E24F3F"/>
    <w:rsid w:val="00E3194B"/>
    <w:rsid w:val="00E4159F"/>
    <w:rsid w:val="00E44D1B"/>
    <w:rsid w:val="00E45B92"/>
    <w:rsid w:val="00E55D0E"/>
    <w:rsid w:val="00E60BD9"/>
    <w:rsid w:val="00E726A2"/>
    <w:rsid w:val="00E850C2"/>
    <w:rsid w:val="00E9120F"/>
    <w:rsid w:val="00EA4D5D"/>
    <w:rsid w:val="00EA6958"/>
    <w:rsid w:val="00EB2C25"/>
    <w:rsid w:val="00EC14C5"/>
    <w:rsid w:val="00EC3674"/>
    <w:rsid w:val="00EF2626"/>
    <w:rsid w:val="00EF38F0"/>
    <w:rsid w:val="00F031A4"/>
    <w:rsid w:val="00F039C6"/>
    <w:rsid w:val="00F04C55"/>
    <w:rsid w:val="00F22A09"/>
    <w:rsid w:val="00F26ACC"/>
    <w:rsid w:val="00F301B6"/>
    <w:rsid w:val="00F6622E"/>
    <w:rsid w:val="00F67861"/>
    <w:rsid w:val="00F70391"/>
    <w:rsid w:val="00F75381"/>
    <w:rsid w:val="00F937C4"/>
    <w:rsid w:val="00F95C19"/>
    <w:rsid w:val="00FA5B28"/>
    <w:rsid w:val="00FA790C"/>
    <w:rsid w:val="00FB0CBF"/>
    <w:rsid w:val="00FB49B8"/>
    <w:rsid w:val="00FB5023"/>
    <w:rsid w:val="00FB5AC7"/>
    <w:rsid w:val="00FC365B"/>
    <w:rsid w:val="00FC4291"/>
    <w:rsid w:val="00FC6CC5"/>
    <w:rsid w:val="00FF1FAB"/>
    <w:rsid w:val="00FF72B9"/>
    <w:rsid w:val="013E522A"/>
    <w:rsid w:val="52ADC392"/>
    <w:rsid w:val="6DC8D347"/>
    <w:rsid w:val="7B1D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14471C"/>
  <w15:docId w15:val="{621F2B6C-68D8-441F-9904-B61A471416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05AB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5AB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00B4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E77C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E77C2"/>
    <w:pPr>
      <w:spacing w:after="0" w:line="240" w:lineRule="auto"/>
      <w:jc w:val="both"/>
    </w:pPr>
    <w:rPr>
      <w:rFonts w:ascii="Arial Narrow" w:hAnsi="Arial Narrow"/>
      <w:sz w:val="24"/>
      <w:szCs w:val="24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E77C2"/>
    <w:rPr>
      <w:rFonts w:ascii="Arial Narrow" w:hAnsi="Arial Narrow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1E77C2"/>
    <w:rPr>
      <w:vertAlign w:val="superscript"/>
    </w:rPr>
  </w:style>
  <w:style w:type="paragraph" w:styleId="ListParagraph">
    <w:name w:val="List Paragraph"/>
    <w:aliases w:val="Scriptoria bullet points,Colorful List - Accent 11"/>
    <w:basedOn w:val="Normal"/>
    <w:link w:val="ListParagraphChar"/>
    <w:uiPriority w:val="34"/>
    <w:qFormat/>
    <w:rsid w:val="001E77C2"/>
    <w:pPr>
      <w:spacing w:line="360" w:lineRule="auto"/>
      <w:ind w:left="720"/>
      <w:contextualSpacing/>
      <w:jc w:val="both"/>
    </w:pPr>
    <w:rPr>
      <w:rFonts w:ascii="Arial Narrow" w:hAnsi="Arial Narrow"/>
    </w:rPr>
  </w:style>
  <w:style w:type="paragraph" w:styleId="EndnoteText">
    <w:name w:val="endnote text"/>
    <w:basedOn w:val="Normal"/>
    <w:link w:val="EndnoteTextChar"/>
    <w:uiPriority w:val="99"/>
    <w:unhideWhenUsed/>
    <w:rsid w:val="001E77C2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rsid w:val="001E77C2"/>
    <w:rPr>
      <w:sz w:val="20"/>
      <w:szCs w:val="20"/>
    </w:rPr>
  </w:style>
  <w:style w:type="table" w:styleId="TableGrid">
    <w:name w:val="Table Grid"/>
    <w:basedOn w:val="TableNormal"/>
    <w:uiPriority w:val="59"/>
    <w:rsid w:val="00582F8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211E0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211E0"/>
  </w:style>
  <w:style w:type="paragraph" w:styleId="Footer">
    <w:name w:val="footer"/>
    <w:basedOn w:val="Normal"/>
    <w:link w:val="FooterChar"/>
    <w:uiPriority w:val="99"/>
    <w:unhideWhenUsed/>
    <w:rsid w:val="008211E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211E0"/>
  </w:style>
  <w:style w:type="character" w:styleId="CommentReference">
    <w:name w:val="annotation reference"/>
    <w:basedOn w:val="DefaultParagraphFont"/>
    <w:uiPriority w:val="99"/>
    <w:semiHidden/>
    <w:unhideWhenUsed/>
    <w:rsid w:val="00EC1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14C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EC1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14C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C14C5"/>
    <w:rPr>
      <w:b/>
      <w:bCs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rsid w:val="005405AB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405AB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9A00B4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06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E442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 w:eastAsia="en-GB"/>
    </w:rPr>
  </w:style>
  <w:style w:type="paragraph" w:styleId="Default" w:customStyle="1">
    <w:name w:val="Default"/>
    <w:rsid w:val="00DE442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45B92"/>
    <w:rPr>
      <w:color w:val="605E5C"/>
      <w:shd w:val="clear" w:color="auto" w:fill="E1DFDD"/>
    </w:rPr>
  </w:style>
  <w:style w:type="character" w:styleId="ListParagraphChar" w:customStyle="1">
    <w:name w:val="List Paragraph Char"/>
    <w:aliases w:val="Scriptoria bullet points Char,Colorful List - Accent 11 Char"/>
    <w:basedOn w:val="DefaultParagraphFont"/>
    <w:link w:val="ListParagraph"/>
    <w:uiPriority w:val="34"/>
    <w:locked/>
    <w:rsid w:val="00020CE2"/>
    <w:rPr>
      <w:rFonts w:ascii="Arial Narrow" w:hAnsi="Arial Narrow"/>
    </w:rPr>
  </w:style>
  <w:style w:type="paragraph" w:styleId="Revision">
    <w:name w:val="Revision"/>
    <w:hidden/>
    <w:uiPriority w:val="99"/>
    <w:semiHidden/>
    <w:rsid w:val="000157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4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92010">
          <w:marLeft w:val="619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59496">
          <w:marLeft w:val="619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clintonhealth.app.box.com/s/w28v3c9rdh49l0fwljtw61ko21w14fqh" TargetMode="External"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image" Target="media/image3.png" Id="rId18" /><Relationship Type="http://schemas.openxmlformats.org/officeDocument/2006/relationships/customXml" Target="../customXml/item3.xml" Id="rId3" /><Relationship Type="http://schemas.openxmlformats.org/officeDocument/2006/relationships/hyperlink" Target="https://clintonhealth.app.box.com/s/dfr43vh9s6z85h7tacgwir28i98dvpus" TargetMode="Externa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image" Target="media/image2.png" Id="rId17" /><Relationship Type="http://schemas.openxmlformats.org/officeDocument/2006/relationships/theme" Target="theme/theme1.xml" Id="rId25" /><Relationship Type="http://schemas.openxmlformats.org/officeDocument/2006/relationships/customXml" Target="../customXml/item2.xml" Id="rId2" /><Relationship Type="http://schemas.openxmlformats.org/officeDocument/2006/relationships/hyperlink" Target="https://www.arvprocurementworkinggroup.org/?l=en." TargetMode="External" Id="rId16" /><Relationship Type="http://schemas.openxmlformats.org/officeDocument/2006/relationships/hyperlink" Target="https://www.arvprocurementworkinggroup.org/?l=en.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comments" Target="comments.xml" Id="rId11" /><Relationship Type="http://schemas.microsoft.com/office/2011/relationships/people" Target="people.xml" Id="rId24" /><Relationship Type="http://schemas.openxmlformats.org/officeDocument/2006/relationships/numbering" Target="numbering.xml" Id="rId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image" Target="media/image4.pn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8/08/relationships/commentsExtensible" Target="commentsExtensible.xml" Id="rId14" /><Relationship Type="http://schemas.openxmlformats.org/officeDocument/2006/relationships/footer" Target="footer1.xml" Id="rId22" /><Relationship Type="http://schemas.openxmlformats.org/officeDocument/2006/relationships/glossaryDocument" Target="/word/glossary/document.xml" Id="R84bba023bdb14021" /><Relationship Type="http://schemas.openxmlformats.org/officeDocument/2006/relationships/header" Target="/word/header.xml" Id="Ra137bc222830451e" /><Relationship Type="http://schemas.openxmlformats.org/officeDocument/2006/relationships/image" Target="/media/image5.png" Id="Rf168e05098974be5" /></Relationships>
</file>

<file path=word/_rels/footnotes.xml.rels>&#65279;<?xml version="1.0" encoding="utf-8"?><Relationships xmlns="http://schemas.openxmlformats.org/package/2006/relationships"><Relationship Type="http://schemas.openxmlformats.org/officeDocument/2006/relationships/hyperlink" Target="https://www.who.int/publications/i/item/9789240007888" TargetMode="External" Id="R1af4947bb52249e7" /><Relationship Type="http://schemas.openxmlformats.org/officeDocument/2006/relationships/hyperlink" Target="https://www.accessdata.fda.gov/drugsatfda_docs/appletter/2020/214521Orig1s000TAltr.pdf" TargetMode="External" Id="R38ba994324b34090" /><Relationship Type="http://schemas.openxmlformats.org/officeDocument/2006/relationships/hyperlink" Target="https://www.accessdata.fda.gov/drugsatfda_docs/appletter/2021/214566Orig1s000TA_ltr.pdf" TargetMode="External" Id="Rb0badfaff6794723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98b9a-922e-4a8c-8ed9-65dfebbafb84}"/>
      </w:docPartPr>
      <w:docPartBody>
        <w:p w14:paraId="471569A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07AC6793F6143936FC0AE9F769271" ma:contentTypeVersion="0" ma:contentTypeDescription="Create a new document." ma:contentTypeScope="" ma:versionID="25c14243ab043c649cfb7a2634b2a6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973f25da26469b2f833959a1a23e5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8CFB40-9981-446B-819A-1343C196C6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EF6418-EE90-4EFA-A3A0-EFC620358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BD5725-9FBC-4472-AE2E-9B41BE367C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38C7FA-C901-4173-BBE5-CAD7FFC4DE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Swati Kalra</dc:creator>
  <keywords/>
  <dc:description/>
  <lastModifiedBy>Sarah Pease</lastModifiedBy>
  <revision>71</revision>
  <lastPrinted>2018-03-22T03:59:00.0000000Z</lastPrinted>
  <dcterms:created xsi:type="dcterms:W3CDTF">2021-02-25T06:22:00.0000000Z</dcterms:created>
  <dcterms:modified xsi:type="dcterms:W3CDTF">2021-04-07T22:02:04.3111762Z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0x01010052507AC6793F6143936FC0AE9F769271</vt:lpwstr>
  </property>
</Properties>
</file>